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experience map</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Improving retention and monetization of existing customers can be hugely beneficial for organizations and can have way more of an impact on increasing annual revenue than acquisition efforts.</w:t>
      </w:r>
    </w:p>
    <w:p w:rsidR="00000000" w:rsidDel="00000000" w:rsidP="00000000" w:rsidRDefault="00000000" w:rsidRPr="00000000" w14:paraId="00000004">
      <w:pPr>
        <w:rPr/>
      </w:pPr>
      <w:r w:rsidDel="00000000" w:rsidR="00000000" w:rsidRPr="00000000">
        <w:rPr>
          <w:rtl w:val="0"/>
        </w:rPr>
        <w:t xml:space="preserve">But, many leaders focus most of their efforts on the acquisition, despite the biggest growth opportunities already existing within the customer base.</w:t>
      </w:r>
    </w:p>
    <w:p w:rsidR="00000000" w:rsidDel="00000000" w:rsidP="00000000" w:rsidRDefault="00000000" w:rsidRPr="00000000" w14:paraId="00000005">
      <w:pPr>
        <w:rPr/>
      </w:pPr>
      <w:r w:rsidDel="00000000" w:rsidR="00000000" w:rsidRPr="00000000">
        <w:rPr>
          <w:rtl w:val="0"/>
        </w:rPr>
        <w:t xml:space="preserve">Focusing on a unique customer experience can have a huge positive impact, and operationalizing that experience can further maximize revenue growth. This is where creating a customer experience map for growth comes in! </w:t>
      </w:r>
    </w:p>
    <w:p w:rsidR="00000000" w:rsidDel="00000000" w:rsidP="00000000" w:rsidRDefault="00000000" w:rsidRPr="00000000" w14:paraId="00000006">
      <w:pPr>
        <w:rPr/>
      </w:pPr>
      <w:r w:rsidDel="00000000" w:rsidR="00000000" w:rsidRPr="00000000">
        <w:rPr>
          <w:rtl w:val="0"/>
        </w:rPr>
        <w:t xml:space="preserve">And there are 6 initial steps to creating one:</w:t>
      </w:r>
    </w:p>
    <w:p w:rsidR="00000000" w:rsidDel="00000000" w:rsidP="00000000" w:rsidRDefault="00000000" w:rsidRPr="00000000" w14:paraId="00000007">
      <w:pPr>
        <w:rPr>
          <w:rFonts w:ascii="Arial" w:cs="Arial" w:eastAsia="Arial" w:hAnsi="Arial"/>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gridCol w:w="10080"/>
        <w:tblGridChange w:id="0">
          <w:tblGrid>
            <w:gridCol w:w="10080"/>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jc w:val="center"/>
              <w:rPr>
                <w:b w:val="1"/>
                <w:color w:val="ffffff"/>
              </w:rPr>
            </w:pPr>
            <w:r w:rsidDel="00000000" w:rsidR="00000000" w:rsidRPr="00000000">
              <w:rPr>
                <w:b w:val="1"/>
                <w:color w:val="ffffff"/>
                <w:rtl w:val="0"/>
              </w:rPr>
              <w:t xml:space="preserve">CX map initial steps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4"/>
              </w:numPr>
              <w:ind w:left="720" w:hanging="360"/>
              <w:rPr>
                <w:color w:val="000000"/>
              </w:rPr>
            </w:pPr>
            <w:r w:rsidDel="00000000" w:rsidR="00000000" w:rsidRPr="00000000">
              <w:rPr>
                <w:color w:val="000000"/>
                <w:rtl w:val="0"/>
              </w:rPr>
              <w:t xml:space="preserve">Create a cross-functional team.</w:t>
            </w:r>
          </w:p>
          <w:p w:rsidR="00000000" w:rsidDel="00000000" w:rsidP="00000000" w:rsidRDefault="00000000" w:rsidRPr="00000000" w14:paraId="0000000A">
            <w:pPr>
              <w:widowControl w:val="0"/>
              <w:numPr>
                <w:ilvl w:val="0"/>
                <w:numId w:val="4"/>
              </w:numPr>
              <w:ind w:left="720" w:hanging="360"/>
              <w:rPr>
                <w:color w:val="000000"/>
              </w:rPr>
            </w:pPr>
            <w:r w:rsidDel="00000000" w:rsidR="00000000" w:rsidRPr="00000000">
              <w:rPr>
                <w:color w:val="000000"/>
                <w:rtl w:val="0"/>
              </w:rPr>
              <w:t xml:space="preserve">Collect data that’s both quantitative and qualitative.</w:t>
            </w:r>
          </w:p>
          <w:p w:rsidR="00000000" w:rsidDel="00000000" w:rsidP="00000000" w:rsidRDefault="00000000" w:rsidRPr="00000000" w14:paraId="0000000B">
            <w:pPr>
              <w:widowControl w:val="0"/>
              <w:numPr>
                <w:ilvl w:val="0"/>
                <w:numId w:val="4"/>
              </w:numPr>
              <w:ind w:left="720" w:hanging="360"/>
              <w:rPr>
                <w:color w:val="000000"/>
              </w:rPr>
            </w:pPr>
            <w:r w:rsidDel="00000000" w:rsidR="00000000" w:rsidRPr="00000000">
              <w:rPr>
                <w:color w:val="000000"/>
                <w:rtl w:val="0"/>
              </w:rPr>
              <w:t xml:space="preserve">Think about success milestones.</w:t>
            </w:r>
          </w:p>
          <w:p w:rsidR="00000000" w:rsidDel="00000000" w:rsidP="00000000" w:rsidRDefault="00000000" w:rsidRPr="00000000" w14:paraId="0000000C">
            <w:pPr>
              <w:widowControl w:val="0"/>
              <w:numPr>
                <w:ilvl w:val="0"/>
                <w:numId w:val="4"/>
              </w:numPr>
              <w:ind w:left="720" w:hanging="360"/>
              <w:rPr>
                <w:color w:val="000000"/>
              </w:rPr>
            </w:pPr>
            <w:r w:rsidDel="00000000" w:rsidR="00000000" w:rsidRPr="00000000">
              <w:rPr>
                <w:color w:val="000000"/>
                <w:rtl w:val="0"/>
              </w:rPr>
              <w:t xml:space="preserve">Break down customer needs.</w:t>
            </w:r>
          </w:p>
          <w:p w:rsidR="00000000" w:rsidDel="00000000" w:rsidP="00000000" w:rsidRDefault="00000000" w:rsidRPr="00000000" w14:paraId="0000000D">
            <w:pPr>
              <w:widowControl w:val="0"/>
              <w:numPr>
                <w:ilvl w:val="0"/>
                <w:numId w:val="4"/>
              </w:numPr>
              <w:ind w:left="720" w:hanging="360"/>
              <w:rPr>
                <w:color w:val="000000"/>
              </w:rPr>
            </w:pPr>
            <w:r w:rsidDel="00000000" w:rsidR="00000000" w:rsidRPr="00000000">
              <w:rPr>
                <w:color w:val="000000"/>
                <w:rtl w:val="0"/>
              </w:rPr>
              <w:t xml:space="preserve">Define KPIs, largely completely new ones.</w:t>
            </w:r>
          </w:p>
          <w:p w:rsidR="00000000" w:rsidDel="00000000" w:rsidP="00000000" w:rsidRDefault="00000000" w:rsidRPr="00000000" w14:paraId="0000000E">
            <w:pPr>
              <w:widowControl w:val="0"/>
              <w:numPr>
                <w:ilvl w:val="0"/>
                <w:numId w:val="4"/>
              </w:numPr>
              <w:ind w:left="720" w:hanging="360"/>
              <w:rPr>
                <w:color w:val="000000"/>
              </w:rPr>
            </w:pPr>
            <w:r w:rsidDel="00000000" w:rsidR="00000000" w:rsidRPr="00000000">
              <w:rPr>
                <w:color w:val="000000"/>
                <w:rtl w:val="0"/>
              </w:rPr>
              <w:t xml:space="preserve">Pinpoint success gaps and optimize.</w:t>
            </w:r>
          </w:p>
        </w:tc>
      </w:tr>
    </w:tbl>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p w:rsidR="00000000" w:rsidDel="00000000" w:rsidP="00000000" w:rsidRDefault="00000000" w:rsidRPr="00000000" w14:paraId="00000012">
      <w:pPr>
        <w:rPr>
          <w:color w:val="000000"/>
        </w:rPr>
      </w:pPr>
      <w:r w:rsidDel="00000000" w:rsidR="00000000" w:rsidRPr="00000000">
        <w:rPr>
          <w:color w:val="000000"/>
          <w:rtl w:val="0"/>
        </w:rPr>
        <w:t xml:space="preserve">So, let’s go ahead and briefly break down these first steps to crafting an effective CX map…</w:t>
      </w:r>
    </w:p>
    <w:p w:rsidR="00000000" w:rsidDel="00000000" w:rsidP="00000000" w:rsidRDefault="00000000" w:rsidRPr="00000000" w14:paraId="00000013">
      <w:pPr>
        <w:rPr>
          <w:color w:val="000000"/>
        </w:rPr>
      </w:pPr>
      <w:r w:rsidDel="00000000" w:rsidR="00000000" w:rsidRPr="00000000">
        <w:rPr>
          <w:rtl w:val="0"/>
        </w:rPr>
      </w:r>
    </w:p>
    <w:tbl>
      <w:tblPr>
        <w:tblStyle w:val="Table2"/>
        <w:tblW w:w="1249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130"/>
        <w:gridCol w:w="2500"/>
        <w:tblGridChange w:id="0">
          <w:tblGrid>
            <w:gridCol w:w="1860"/>
            <w:gridCol w:w="8130"/>
            <w:gridCol w:w="2500"/>
          </w:tblGrid>
        </w:tblGridChange>
      </w:tblGrid>
      <w:tr>
        <w:trPr>
          <w:cantSplit w:val="0"/>
          <w:trHeight w:val="193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color w:val="ffffff"/>
              </w:rPr>
            </w:pPr>
            <w:r w:rsidDel="00000000" w:rsidR="00000000" w:rsidRPr="00000000">
              <w:rPr>
                <w:b w:val="1"/>
                <w:color w:val="ffffff"/>
                <w:rtl w:val="0"/>
              </w:rPr>
              <w:t xml:space="preserve">Create a cross-functional team</w:t>
            </w:r>
          </w:p>
        </w:tc>
        <w:tc>
          <w:tcPr>
            <w:tcBorders>
              <w:top w:color="000000" w:space="0" w:sz="0" w:val="nil"/>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widowControl w:val="0"/>
              <w:rPr>
                <w:color w:val="000000"/>
              </w:rPr>
            </w:pPr>
            <w:r w:rsidDel="00000000" w:rsidR="00000000" w:rsidRPr="00000000">
              <w:rPr>
                <w:color w:val="000000"/>
                <w:rtl w:val="0"/>
              </w:rPr>
              <w:t xml:space="preserve">You need to be able to tap into all the knowledge you need, across the whole organization.</w:t>
            </w:r>
          </w:p>
          <w:p w:rsidR="00000000" w:rsidDel="00000000" w:rsidP="00000000" w:rsidRDefault="00000000" w:rsidRPr="00000000" w14:paraId="00000016">
            <w:pPr>
              <w:widowControl w:val="0"/>
              <w:numPr>
                <w:ilvl w:val="0"/>
                <w:numId w:val="2"/>
              </w:numPr>
              <w:ind w:left="720" w:hanging="360"/>
              <w:rPr>
                <w:color w:val="000000"/>
              </w:rPr>
            </w:pPr>
            <w:r w:rsidDel="00000000" w:rsidR="00000000" w:rsidRPr="00000000">
              <w:rPr>
                <w:color w:val="000000"/>
                <w:rtl w:val="0"/>
              </w:rPr>
              <w:t xml:space="preserve">Collect knowledge.</w:t>
            </w:r>
          </w:p>
          <w:p w:rsidR="00000000" w:rsidDel="00000000" w:rsidP="00000000" w:rsidRDefault="00000000" w:rsidRPr="00000000" w14:paraId="00000017">
            <w:pPr>
              <w:widowControl w:val="0"/>
              <w:numPr>
                <w:ilvl w:val="0"/>
                <w:numId w:val="2"/>
              </w:numPr>
              <w:ind w:left="720" w:hanging="360"/>
              <w:rPr>
                <w:color w:val="000000"/>
              </w:rPr>
            </w:pPr>
            <w:r w:rsidDel="00000000" w:rsidR="00000000" w:rsidRPr="00000000">
              <w:rPr>
                <w:color w:val="000000"/>
                <w:rtl w:val="0"/>
              </w:rPr>
              <w:t xml:space="preserve">Guarantee more company-wide buy-in.</w:t>
            </w:r>
          </w:p>
          <w:p w:rsidR="00000000" w:rsidDel="00000000" w:rsidP="00000000" w:rsidRDefault="00000000" w:rsidRPr="00000000" w14:paraId="00000018">
            <w:pPr>
              <w:widowControl w:val="0"/>
              <w:numPr>
                <w:ilvl w:val="0"/>
                <w:numId w:val="2"/>
              </w:numPr>
              <w:ind w:left="720" w:hanging="360"/>
              <w:rPr>
                <w:color w:val="000000"/>
              </w:rPr>
            </w:pPr>
            <w:r w:rsidDel="00000000" w:rsidR="00000000" w:rsidRPr="00000000">
              <w:rPr>
                <w:color w:val="000000"/>
                <w:rtl w:val="0"/>
              </w:rPr>
              <w:t xml:space="preserve">Teams feel more accounted for.</w:t>
            </w:r>
          </w:p>
          <w:p w:rsidR="00000000" w:rsidDel="00000000" w:rsidP="00000000" w:rsidRDefault="00000000" w:rsidRPr="00000000" w14:paraId="00000019">
            <w:pPr>
              <w:widowControl w:val="0"/>
              <w:numPr>
                <w:ilvl w:val="0"/>
                <w:numId w:val="2"/>
              </w:numPr>
              <w:ind w:left="720" w:hanging="360"/>
              <w:rPr>
                <w:color w:val="000000"/>
              </w:rPr>
            </w:pPr>
            <w:r w:rsidDel="00000000" w:rsidR="00000000" w:rsidRPr="00000000">
              <w:rPr>
                <w:color w:val="000000"/>
                <w:rtl w:val="0"/>
              </w:rPr>
              <w:t xml:space="preserve">Reduce silos and redundant work.</w:t>
            </w:r>
          </w:p>
          <w:p w:rsidR="00000000" w:rsidDel="00000000" w:rsidP="00000000" w:rsidRDefault="00000000" w:rsidRPr="00000000" w14:paraId="0000001A">
            <w:pPr>
              <w:widowControl w:val="0"/>
              <w:numPr>
                <w:ilvl w:val="0"/>
                <w:numId w:val="2"/>
              </w:numPr>
              <w:ind w:left="720" w:hanging="360"/>
              <w:rPr>
                <w:color w:val="000000"/>
              </w:rPr>
            </w:pPr>
            <w:r w:rsidDel="00000000" w:rsidR="00000000" w:rsidRPr="00000000">
              <w:rPr>
                <w:color w:val="000000"/>
                <w:rtl w:val="0"/>
              </w:rPr>
              <w:t xml:space="preserve">Clarify roles and responsibilities.</w:t>
            </w:r>
          </w:p>
          <w:p w:rsidR="00000000" w:rsidDel="00000000" w:rsidP="00000000" w:rsidRDefault="00000000" w:rsidRPr="00000000" w14:paraId="0000001B">
            <w:pPr>
              <w:widowControl w:val="0"/>
              <w:numPr>
                <w:ilvl w:val="0"/>
                <w:numId w:val="2"/>
              </w:numPr>
              <w:ind w:left="720" w:hanging="360"/>
              <w:rPr>
                <w:color w:val="000000"/>
              </w:rPr>
            </w:pPr>
            <w:r w:rsidDel="00000000" w:rsidR="00000000" w:rsidRPr="00000000">
              <w:rPr>
                <w:color w:val="000000"/>
                <w:rtl w:val="0"/>
              </w:rPr>
              <w:t xml:space="preserve">Foster dialogue and stronger co-creative strategy.</w:t>
            </w:r>
          </w:p>
        </w:tc>
      </w:tr>
      <w:tr>
        <w:trPr>
          <w:cantSplit w:val="0"/>
          <w:trHeight w:val="207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rPr>
                <w:b w:val="1"/>
                <w:color w:val="ffffff"/>
              </w:rPr>
            </w:pPr>
            <w:r w:rsidDel="00000000" w:rsidR="00000000" w:rsidRPr="00000000">
              <w:rPr>
                <w:b w:val="1"/>
                <w:color w:val="ffffff"/>
                <w:rtl w:val="0"/>
              </w:rPr>
              <w:t xml:space="preserve">Collect data that’s both quantitative and qualitative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widowControl w:val="0"/>
              <w:rPr>
                <w:color w:val="000000"/>
              </w:rPr>
            </w:pPr>
            <w:r w:rsidDel="00000000" w:rsidR="00000000" w:rsidRPr="00000000">
              <w:rPr>
                <w:color w:val="000000"/>
                <w:rtl w:val="0"/>
              </w:rPr>
              <w:t xml:space="preserve">There are many sources for this data you can go to. If you’re introducing this work to solve a particular need, focus on one place first. Examples include:</w:t>
            </w:r>
          </w:p>
          <w:p w:rsidR="00000000" w:rsidDel="00000000" w:rsidP="00000000" w:rsidRDefault="00000000" w:rsidRPr="00000000" w14:paraId="0000001E">
            <w:pPr>
              <w:widowControl w:val="0"/>
              <w:numPr>
                <w:ilvl w:val="0"/>
                <w:numId w:val="3"/>
              </w:numPr>
              <w:ind w:left="720" w:hanging="360"/>
              <w:rPr>
                <w:color w:val="000000"/>
              </w:rPr>
            </w:pPr>
            <w:r w:rsidDel="00000000" w:rsidR="00000000" w:rsidRPr="00000000">
              <w:rPr>
                <w:color w:val="000000"/>
                <w:rtl w:val="0"/>
              </w:rPr>
              <w:t xml:space="preserve">Target market surveys.</w:t>
            </w:r>
          </w:p>
          <w:p w:rsidR="00000000" w:rsidDel="00000000" w:rsidP="00000000" w:rsidRDefault="00000000" w:rsidRPr="00000000" w14:paraId="0000001F">
            <w:pPr>
              <w:widowControl w:val="0"/>
              <w:numPr>
                <w:ilvl w:val="0"/>
                <w:numId w:val="3"/>
              </w:numPr>
              <w:ind w:left="720" w:hanging="360"/>
              <w:rPr>
                <w:color w:val="000000"/>
              </w:rPr>
            </w:pPr>
            <w:r w:rsidDel="00000000" w:rsidR="00000000" w:rsidRPr="00000000">
              <w:rPr>
                <w:color w:val="000000"/>
                <w:rtl w:val="0"/>
              </w:rPr>
              <w:t xml:space="preserve">Market interviews.</w:t>
            </w:r>
          </w:p>
          <w:p w:rsidR="00000000" w:rsidDel="00000000" w:rsidP="00000000" w:rsidRDefault="00000000" w:rsidRPr="00000000" w14:paraId="00000020">
            <w:pPr>
              <w:widowControl w:val="0"/>
              <w:numPr>
                <w:ilvl w:val="0"/>
                <w:numId w:val="3"/>
              </w:numPr>
              <w:ind w:left="720" w:hanging="360"/>
              <w:rPr>
                <w:color w:val="000000"/>
              </w:rPr>
            </w:pPr>
            <w:r w:rsidDel="00000000" w:rsidR="00000000" w:rsidRPr="00000000">
              <w:rPr>
                <w:color w:val="000000"/>
                <w:rtl w:val="0"/>
              </w:rPr>
              <w:t xml:space="preserve">Customer surveys. </w:t>
            </w:r>
          </w:p>
          <w:p w:rsidR="00000000" w:rsidDel="00000000" w:rsidP="00000000" w:rsidRDefault="00000000" w:rsidRPr="00000000" w14:paraId="00000021">
            <w:pPr>
              <w:widowControl w:val="0"/>
              <w:numPr>
                <w:ilvl w:val="0"/>
                <w:numId w:val="3"/>
              </w:numPr>
              <w:ind w:left="720" w:hanging="360"/>
              <w:rPr>
                <w:color w:val="000000"/>
              </w:rPr>
            </w:pPr>
            <w:r w:rsidDel="00000000" w:rsidR="00000000" w:rsidRPr="00000000">
              <w:rPr>
                <w:color w:val="000000"/>
                <w:rtl w:val="0"/>
              </w:rPr>
              <w:t xml:space="preserve">Product usage. </w:t>
            </w:r>
          </w:p>
          <w:p w:rsidR="00000000" w:rsidDel="00000000" w:rsidP="00000000" w:rsidRDefault="00000000" w:rsidRPr="00000000" w14:paraId="00000022">
            <w:pPr>
              <w:widowControl w:val="0"/>
              <w:numPr>
                <w:ilvl w:val="0"/>
                <w:numId w:val="3"/>
              </w:numPr>
              <w:ind w:left="720" w:hanging="360"/>
              <w:rPr>
                <w:color w:val="000000"/>
              </w:rPr>
            </w:pPr>
            <w:r w:rsidDel="00000000" w:rsidR="00000000" w:rsidRPr="00000000">
              <w:rPr>
                <w:color w:val="000000"/>
                <w:rtl w:val="0"/>
              </w:rPr>
              <w:t xml:space="preserve">Demographic data. </w:t>
            </w:r>
          </w:p>
          <w:p w:rsidR="00000000" w:rsidDel="00000000" w:rsidP="00000000" w:rsidRDefault="00000000" w:rsidRPr="00000000" w14:paraId="00000023">
            <w:pPr>
              <w:widowControl w:val="0"/>
              <w:numPr>
                <w:ilvl w:val="0"/>
                <w:numId w:val="3"/>
              </w:numPr>
              <w:ind w:left="720" w:hanging="360"/>
              <w:rPr>
                <w:color w:val="000000"/>
              </w:rPr>
            </w:pPr>
            <w:r w:rsidDel="00000000" w:rsidR="00000000" w:rsidRPr="00000000">
              <w:rPr>
                <w:color w:val="000000"/>
                <w:rtl w:val="0"/>
              </w:rPr>
              <w:t xml:space="preserve">Website analytics.</w:t>
            </w:r>
          </w:p>
          <w:p w:rsidR="00000000" w:rsidDel="00000000" w:rsidP="00000000" w:rsidRDefault="00000000" w:rsidRPr="00000000" w14:paraId="00000024">
            <w:pPr>
              <w:widowControl w:val="0"/>
              <w:numPr>
                <w:ilvl w:val="0"/>
                <w:numId w:val="3"/>
              </w:numPr>
              <w:ind w:left="720" w:hanging="360"/>
              <w:rPr>
                <w:color w:val="000000"/>
              </w:rPr>
            </w:pPr>
            <w:r w:rsidDel="00000000" w:rsidR="00000000" w:rsidRPr="00000000">
              <w:rPr>
                <w:color w:val="000000"/>
                <w:rtl w:val="0"/>
              </w:rPr>
              <w:t xml:space="preserve">Buyer types.</w:t>
            </w:r>
          </w:p>
          <w:p w:rsidR="00000000" w:rsidDel="00000000" w:rsidP="00000000" w:rsidRDefault="00000000" w:rsidRPr="00000000" w14:paraId="00000025">
            <w:pPr>
              <w:widowControl w:val="0"/>
              <w:numPr>
                <w:ilvl w:val="0"/>
                <w:numId w:val="3"/>
              </w:numPr>
              <w:ind w:left="720" w:hanging="360"/>
              <w:rPr>
                <w:color w:val="000000"/>
              </w:rPr>
            </w:pPr>
            <w:r w:rsidDel="00000000" w:rsidR="00000000" w:rsidRPr="00000000">
              <w:rPr>
                <w:color w:val="000000"/>
                <w:rtl w:val="0"/>
              </w:rPr>
              <w:t xml:space="preserve">Personas.</w:t>
            </w:r>
          </w:p>
          <w:p w:rsidR="00000000" w:rsidDel="00000000" w:rsidP="00000000" w:rsidRDefault="00000000" w:rsidRPr="00000000" w14:paraId="00000026">
            <w:pPr>
              <w:widowControl w:val="0"/>
              <w:numPr>
                <w:ilvl w:val="0"/>
                <w:numId w:val="3"/>
              </w:numPr>
              <w:ind w:left="720" w:hanging="360"/>
              <w:rPr>
                <w:color w:val="000000"/>
              </w:rPr>
            </w:pPr>
            <w:r w:rsidDel="00000000" w:rsidR="00000000" w:rsidRPr="00000000">
              <w:rPr>
                <w:color w:val="000000"/>
                <w:rtl w:val="0"/>
              </w:rPr>
              <w:t xml:space="preserve">Software reviews.</w:t>
            </w:r>
          </w:p>
        </w:tc>
      </w:tr>
      <w:tr>
        <w:trPr>
          <w:cantSplit w:val="0"/>
          <w:trHeight w:val="202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7">
            <w:pPr>
              <w:widowControl w:val="0"/>
              <w:rPr>
                <w:b w:val="1"/>
                <w:color w:val="ffffff"/>
              </w:rPr>
            </w:pPr>
            <w:r w:rsidDel="00000000" w:rsidR="00000000" w:rsidRPr="00000000">
              <w:rPr>
                <w:b w:val="1"/>
                <w:color w:val="ffffff"/>
                <w:rtl w:val="0"/>
              </w:rPr>
              <w:t xml:space="preserve">Think about success milestones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widowControl w:val="0"/>
              <w:rPr>
                <w:color w:val="000000"/>
              </w:rPr>
            </w:pPr>
            <w:r w:rsidDel="00000000" w:rsidR="00000000" w:rsidRPr="00000000">
              <w:rPr>
                <w:color w:val="000000"/>
                <w:rtl w:val="0"/>
              </w:rPr>
              <w:t xml:space="preserve">Look at identifying the instances of trust a customer places during their relationship with you. For example:</w:t>
            </w:r>
          </w:p>
          <w:p w:rsidR="00000000" w:rsidDel="00000000" w:rsidP="00000000" w:rsidRDefault="00000000" w:rsidRPr="00000000" w14:paraId="00000029">
            <w:pPr>
              <w:widowControl w:val="0"/>
              <w:numPr>
                <w:ilvl w:val="0"/>
                <w:numId w:val="1"/>
              </w:numPr>
              <w:ind w:left="720" w:hanging="360"/>
              <w:rPr>
                <w:color w:val="000000"/>
              </w:rPr>
            </w:pPr>
            <w:r w:rsidDel="00000000" w:rsidR="00000000" w:rsidRPr="00000000">
              <w:rPr>
                <w:color w:val="000000"/>
                <w:rtl w:val="0"/>
              </w:rPr>
              <w:t xml:space="preserve">When they experience a problem and start seeking a solution.</w:t>
            </w:r>
          </w:p>
          <w:p w:rsidR="00000000" w:rsidDel="00000000" w:rsidP="00000000" w:rsidRDefault="00000000" w:rsidRPr="00000000" w14:paraId="0000002A">
            <w:pPr>
              <w:widowControl w:val="0"/>
              <w:numPr>
                <w:ilvl w:val="0"/>
                <w:numId w:val="1"/>
              </w:numPr>
              <w:ind w:left="720" w:hanging="360"/>
              <w:rPr>
                <w:color w:val="000000"/>
              </w:rPr>
            </w:pPr>
            <w:r w:rsidDel="00000000" w:rsidR="00000000" w:rsidRPr="00000000">
              <w:rPr>
                <w:color w:val="000000"/>
                <w:rtl w:val="0"/>
              </w:rPr>
              <w:t xml:space="preserve">What they might go through in a buy-in decision.</w:t>
            </w:r>
          </w:p>
          <w:p w:rsidR="00000000" w:rsidDel="00000000" w:rsidP="00000000" w:rsidRDefault="00000000" w:rsidRPr="00000000" w14:paraId="0000002B">
            <w:pPr>
              <w:widowControl w:val="0"/>
              <w:numPr>
                <w:ilvl w:val="0"/>
                <w:numId w:val="1"/>
              </w:numPr>
              <w:ind w:left="720" w:hanging="360"/>
              <w:rPr>
                <w:color w:val="000000"/>
              </w:rPr>
            </w:pPr>
            <w:r w:rsidDel="00000000" w:rsidR="00000000" w:rsidRPr="00000000">
              <w:rPr>
                <w:color w:val="000000"/>
                <w:rtl w:val="0"/>
              </w:rPr>
              <w:t xml:space="preserve">When they’re deciding how to use the product within their organization.</w:t>
            </w:r>
          </w:p>
          <w:p w:rsidR="00000000" w:rsidDel="00000000" w:rsidP="00000000" w:rsidRDefault="00000000" w:rsidRPr="00000000" w14:paraId="0000002C">
            <w:pPr>
              <w:widowControl w:val="0"/>
              <w:rPr>
                <w:color w:val="000000"/>
              </w:rPr>
            </w:pPr>
            <w:r w:rsidDel="00000000" w:rsidR="00000000" w:rsidRPr="00000000">
              <w:rPr>
                <w:color w:val="000000"/>
                <w:rtl w:val="0"/>
              </w:rPr>
              <w:t xml:space="preserve">Focus on your customer and what they need to be successful. Example:</w:t>
            </w:r>
          </w:p>
          <w:p w:rsidR="00000000" w:rsidDel="00000000" w:rsidP="00000000" w:rsidRDefault="00000000" w:rsidRPr="00000000" w14:paraId="0000002D">
            <w:pPr>
              <w:widowControl w:val="0"/>
              <w:rPr>
                <w:color w:val="000000"/>
              </w:rPr>
            </w:pPr>
            <w:r w:rsidDel="00000000" w:rsidR="00000000" w:rsidRPr="00000000">
              <w:rPr>
                <w:color w:val="000000"/>
                <w:rtl w:val="0"/>
              </w:rPr>
              <w:t xml:space="preserve">Discovery - explore - consider -  try - engage - grow.</w:t>
            </w:r>
          </w:p>
        </w:tc>
      </w:tr>
      <w:tr>
        <w:trPr>
          <w:cantSplit w:val="0"/>
          <w:trHeight w:val="189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widowControl w:val="0"/>
              <w:rPr>
                <w:b w:val="1"/>
                <w:color w:val="ffffff"/>
              </w:rPr>
            </w:pPr>
            <w:r w:rsidDel="00000000" w:rsidR="00000000" w:rsidRPr="00000000">
              <w:rPr>
                <w:b w:val="1"/>
                <w:color w:val="ffffff"/>
                <w:rtl w:val="0"/>
              </w:rPr>
              <w:t xml:space="preserve">Break down customer needs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widowControl w:val="0"/>
              <w:rPr>
                <w:color w:val="000000"/>
              </w:rPr>
            </w:pPr>
            <w:r w:rsidDel="00000000" w:rsidR="00000000" w:rsidRPr="00000000">
              <w:rPr>
                <w:color w:val="000000"/>
                <w:rtl w:val="0"/>
              </w:rPr>
              <w:t xml:space="preserve">Focus on the motivations, objections and outside influences that are driving your customers.</w:t>
            </w:r>
          </w:p>
          <w:p w:rsidR="00000000" w:rsidDel="00000000" w:rsidP="00000000" w:rsidRDefault="00000000" w:rsidRPr="00000000" w14:paraId="00000030">
            <w:pPr>
              <w:widowControl w:val="0"/>
              <w:rPr>
                <w:color w:val="000000"/>
              </w:rPr>
            </w:pPr>
            <w:r w:rsidDel="00000000" w:rsidR="00000000" w:rsidRPr="00000000">
              <w:rPr>
                <w:color w:val="000000"/>
                <w:rtl w:val="0"/>
              </w:rPr>
              <w:t xml:space="preserve">What are users doing? - What are they thinking? - What are they feeling?</w:t>
            </w:r>
          </w:p>
        </w:tc>
      </w:tr>
      <w:tr>
        <w:trPr>
          <w:cantSplit w:val="0"/>
          <w:trHeight w:val="192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rPr>
                <w:b w:val="1"/>
                <w:color w:val="ffffff"/>
              </w:rPr>
            </w:pPr>
            <w:r w:rsidDel="00000000" w:rsidR="00000000" w:rsidRPr="00000000">
              <w:rPr>
                <w:b w:val="1"/>
                <w:color w:val="ffffff"/>
                <w:rtl w:val="0"/>
              </w:rPr>
              <w:t xml:space="preserve">Define KPIs, largely completely new ones</w:t>
            </w:r>
          </w:p>
          <w:p w:rsidR="00000000" w:rsidDel="00000000" w:rsidP="00000000" w:rsidRDefault="00000000" w:rsidRPr="00000000" w14:paraId="00000032">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widowControl w:val="0"/>
              <w:rPr>
                <w:color w:val="000000"/>
              </w:rPr>
            </w:pPr>
            <w:r w:rsidDel="00000000" w:rsidR="00000000" w:rsidRPr="00000000">
              <w:rPr>
                <w:color w:val="000000"/>
                <w:rtl w:val="0"/>
              </w:rPr>
              <w:t xml:space="preserve">This is a highly critical step in the mapping process. You may have current metrics in place such as unique page visits, referrals etc. Look at developing new KPIs for the identified moments of trust. For example:</w:t>
            </w:r>
          </w:p>
          <w:p w:rsidR="00000000" w:rsidDel="00000000" w:rsidP="00000000" w:rsidRDefault="00000000" w:rsidRPr="00000000" w14:paraId="00000034">
            <w:pPr>
              <w:widowControl w:val="0"/>
              <w:rPr>
                <w:color w:val="000000"/>
              </w:rPr>
            </w:pPr>
            <w:r w:rsidDel="00000000" w:rsidR="00000000" w:rsidRPr="00000000">
              <w:rPr>
                <w:color w:val="000000"/>
                <w:rtl w:val="0"/>
              </w:rPr>
              <w:t xml:space="preserve">When a customer activates inside your product - when a customer becomes truly engaged.</w:t>
            </w:r>
          </w:p>
        </w:tc>
      </w:tr>
      <w:tr>
        <w:trPr>
          <w:cantSplit w:val="0"/>
          <w:trHeight w:val="184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5">
            <w:pPr>
              <w:widowControl w:val="0"/>
              <w:rPr>
                <w:b w:val="1"/>
                <w:color w:val="ffffff"/>
              </w:rPr>
            </w:pPr>
            <w:r w:rsidDel="00000000" w:rsidR="00000000" w:rsidRPr="00000000">
              <w:rPr>
                <w:b w:val="1"/>
                <w:color w:val="ffffff"/>
                <w:rtl w:val="0"/>
              </w:rPr>
              <w:t xml:space="preserve">Pinpoint success gaps and optimize</w:t>
            </w:r>
          </w:p>
          <w:p w:rsidR="00000000" w:rsidDel="00000000" w:rsidP="00000000" w:rsidRDefault="00000000" w:rsidRPr="00000000" w14:paraId="00000036">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widowControl w:val="0"/>
              <w:rPr>
                <w:color w:val="000000"/>
              </w:rPr>
            </w:pPr>
            <w:r w:rsidDel="00000000" w:rsidR="00000000" w:rsidRPr="00000000">
              <w:rPr>
                <w:color w:val="000000"/>
                <w:rtl w:val="0"/>
              </w:rPr>
              <w:t xml:space="preserve">Utilize new KPIs to truly evaluate the current experience of your customers - identify success gaps and optimize opportunities - rally your cross-functional teams and experiment - continue to build on this.</w:t>
            </w:r>
          </w:p>
        </w:tc>
      </w:tr>
    </w:tbl>
    <w:p w:rsidR="00000000" w:rsidDel="00000000" w:rsidP="00000000" w:rsidRDefault="00000000" w:rsidRPr="00000000" w14:paraId="00000038">
      <w:pPr>
        <w:rPr>
          <w:color w:val="000000"/>
        </w:rPr>
      </w:pP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color w:val="000000"/>
          <w:rtl w:val="0"/>
        </w:rPr>
        <w:t xml:space="preserve">A strong CX map will help you create a shared understanding for your teams, a shared language to talk about your work and customers. Opportunities will become more obvious and you’ll be able to develop a meaningful measure for success.</w:t>
      </w:r>
    </w:p>
    <w:p w:rsidR="00000000" w:rsidDel="00000000" w:rsidP="00000000" w:rsidRDefault="00000000" w:rsidRPr="00000000" w14:paraId="0000003A">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experience map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