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32B29" w14:textId="66439175" w:rsidR="009042AC" w:rsidRPr="00AB74D8" w:rsidRDefault="00270A04">
      <w:pPr>
        <w:pStyle w:val="Titolo3"/>
        <w:keepNext w:val="0"/>
        <w:keepLines w:val="0"/>
        <w:spacing w:before="280"/>
        <w:jc w:val="both"/>
        <w:rPr>
          <w:rFonts w:ascii="Times New Roman" w:hAnsi="Times New Roman" w:cs="Times New Roman"/>
          <w:b/>
          <w:color w:val="000000"/>
          <w:sz w:val="24"/>
          <w:szCs w:val="24"/>
        </w:rPr>
      </w:pPr>
      <w:bookmarkStart w:id="0" w:name="_icliwoy3bym2" w:colFirst="0" w:colLast="0"/>
      <w:bookmarkEnd w:id="0"/>
      <w:r w:rsidRPr="00AB74D8">
        <w:rPr>
          <w:rFonts w:ascii="Times New Roman" w:hAnsi="Times New Roman" w:cs="Times New Roman"/>
          <w:b/>
          <w:color w:val="000000"/>
          <w:sz w:val="24"/>
          <w:szCs w:val="24"/>
        </w:rPr>
        <w:t xml:space="preserve">Il trasferimento di residenza di società e trust: l’incidenza dell’articolo 49 TFUE </w:t>
      </w:r>
      <w:r w:rsidR="00AB74D8">
        <w:rPr>
          <w:rFonts w:ascii="Times New Roman" w:hAnsi="Times New Roman" w:cs="Times New Roman"/>
          <w:b/>
          <w:color w:val="000000"/>
          <w:sz w:val="24"/>
          <w:szCs w:val="24"/>
        </w:rPr>
        <w:t>su</w:t>
      </w:r>
      <w:r w:rsidRPr="00AB74D8">
        <w:rPr>
          <w:rFonts w:ascii="Times New Roman" w:hAnsi="Times New Roman" w:cs="Times New Roman"/>
          <w:b/>
          <w:color w:val="000000"/>
          <w:sz w:val="24"/>
          <w:szCs w:val="24"/>
        </w:rPr>
        <w:t>i meccanismi di imposizione in uscita delle plusvalenze latenti.</w:t>
      </w:r>
    </w:p>
    <w:p w14:paraId="35159EDC" w14:textId="77777777" w:rsidR="00AB74D8" w:rsidRPr="00AB74D8" w:rsidRDefault="00AB74D8" w:rsidP="00AB74D8">
      <w:pPr>
        <w:rPr>
          <w:rFonts w:ascii="Times New Roman" w:hAnsi="Times New Roman" w:cs="Times New Roman"/>
          <w:sz w:val="24"/>
          <w:szCs w:val="24"/>
        </w:rPr>
      </w:pPr>
    </w:p>
    <w:p w14:paraId="4B12A0EE" w14:textId="5E36BDB9" w:rsidR="00AB74D8" w:rsidRPr="00AB74D8" w:rsidRDefault="00AB74D8" w:rsidP="00AB74D8">
      <w:pPr>
        <w:rPr>
          <w:rFonts w:ascii="Times New Roman" w:hAnsi="Times New Roman" w:cs="Times New Roman"/>
          <w:sz w:val="24"/>
          <w:szCs w:val="24"/>
        </w:rPr>
      </w:pPr>
      <w:r w:rsidRPr="00AB74D8">
        <w:rPr>
          <w:rFonts w:ascii="Times New Roman" w:hAnsi="Times New Roman" w:cs="Times New Roman"/>
          <w:sz w:val="24"/>
          <w:szCs w:val="24"/>
        </w:rPr>
        <w:t>Alessandro Casanova</w:t>
      </w:r>
      <w:r>
        <w:rPr>
          <w:rFonts w:ascii="Times New Roman" w:hAnsi="Times New Roman" w:cs="Times New Roman"/>
          <w:sz w:val="24"/>
          <w:szCs w:val="24"/>
        </w:rPr>
        <w:t>, Università di Ferrara</w:t>
      </w:r>
    </w:p>
    <w:p w14:paraId="3FB13F6C" w14:textId="77777777" w:rsidR="00AB74D8" w:rsidRPr="00AB74D8" w:rsidRDefault="00AB74D8" w:rsidP="00AB74D8">
      <w:pPr>
        <w:rPr>
          <w:rFonts w:ascii="Times New Roman" w:hAnsi="Times New Roman" w:cs="Times New Roman"/>
          <w:sz w:val="24"/>
          <w:szCs w:val="24"/>
        </w:rPr>
      </w:pPr>
    </w:p>
    <w:p w14:paraId="09532B2A" w14:textId="77777777" w:rsidR="009042AC" w:rsidRPr="00AB74D8" w:rsidRDefault="00270A04">
      <w:pPr>
        <w:jc w:val="both"/>
        <w:rPr>
          <w:rFonts w:ascii="Times New Roman" w:hAnsi="Times New Roman" w:cs="Times New Roman"/>
          <w:sz w:val="24"/>
          <w:szCs w:val="24"/>
        </w:rPr>
      </w:pPr>
      <w:r w:rsidRPr="00AB74D8">
        <w:rPr>
          <w:rFonts w:ascii="Times New Roman" w:hAnsi="Times New Roman" w:cs="Times New Roman"/>
          <w:sz w:val="24"/>
          <w:szCs w:val="24"/>
        </w:rPr>
        <w:t>Ai sensi dell’articolo 166 TUIR, il trasferimento all’estero della residenza fiscale di imprese e società comporta la tassazione delle plusvalenze latenti “al valore normale” delle componenti dell'azienda o del complesso aziendale, salvo che gli stessi non siano confluiti in una stabile organizzazione situata nel territorio dello Stato [...].</w:t>
      </w:r>
    </w:p>
    <w:p w14:paraId="09532B2B" w14:textId="77777777" w:rsidR="009042AC" w:rsidRPr="00AB74D8" w:rsidRDefault="00270A04">
      <w:pPr>
        <w:jc w:val="both"/>
        <w:rPr>
          <w:rFonts w:ascii="Times New Roman" w:hAnsi="Times New Roman" w:cs="Times New Roman"/>
          <w:sz w:val="24"/>
          <w:szCs w:val="24"/>
        </w:rPr>
      </w:pPr>
      <w:r w:rsidRPr="00AB74D8">
        <w:rPr>
          <w:rFonts w:ascii="Times New Roman" w:hAnsi="Times New Roman" w:cs="Times New Roman"/>
          <w:sz w:val="24"/>
          <w:szCs w:val="24"/>
        </w:rPr>
        <w:t>Specularmente, la normativa sammarinese disciplina il realizzo di plusvalenze patrimoniali e sopravvenienze attive tramite l’articolo 55 della legge n. 166/2013 (imposta generale sui redditi) senza, tuttavia, prevedere regole derogatorie che tengano conto del cambio di residenza estera intervenuto nel periodo d’esercizio di riferimento.</w:t>
      </w:r>
    </w:p>
    <w:p w14:paraId="09532B2C" w14:textId="77777777" w:rsidR="009042AC" w:rsidRPr="00AB74D8" w:rsidRDefault="00270A04">
      <w:pPr>
        <w:jc w:val="both"/>
        <w:rPr>
          <w:rFonts w:ascii="Times New Roman" w:hAnsi="Times New Roman" w:cs="Times New Roman"/>
          <w:sz w:val="24"/>
          <w:szCs w:val="24"/>
        </w:rPr>
      </w:pPr>
      <w:r w:rsidRPr="00AB74D8">
        <w:rPr>
          <w:rFonts w:ascii="Times New Roman" w:hAnsi="Times New Roman" w:cs="Times New Roman"/>
          <w:sz w:val="24"/>
          <w:szCs w:val="24"/>
        </w:rPr>
        <w:t>La tassazione degli utili non realizzati (plusvalenze latenti) trova, in via generale, applicazione attraverso meccanismi di imposizione in uscita (exit tax).</w:t>
      </w:r>
    </w:p>
    <w:p w14:paraId="09532B2D" w14:textId="77777777" w:rsidR="009042AC" w:rsidRPr="00AB74D8" w:rsidRDefault="00270A04">
      <w:pPr>
        <w:jc w:val="both"/>
        <w:rPr>
          <w:rFonts w:ascii="Times New Roman" w:hAnsi="Times New Roman" w:cs="Times New Roman"/>
          <w:sz w:val="24"/>
          <w:szCs w:val="24"/>
        </w:rPr>
      </w:pPr>
      <w:r w:rsidRPr="00AB74D8">
        <w:rPr>
          <w:rFonts w:ascii="Times New Roman" w:hAnsi="Times New Roman" w:cs="Times New Roman"/>
          <w:sz w:val="24"/>
          <w:szCs w:val="24"/>
        </w:rPr>
        <w:t xml:space="preserve">In tal senso, la valutazione sulla compatibilità dei meccanismi di imposizione in uscita adottati dagli Stati membri dell’Unione europea non può prescindere dal vaglio, di matrice sostanziale, posto dalla Corte di Giustizia dell’Unione europea che, in plurime occasioni, è stata chiamata a sindacare circa la compatibilità degli stessi con le libertà fondamentali dell’Unione europea e, in generale, con </w:t>
      </w:r>
      <w:r w:rsidRPr="00AB74D8">
        <w:rPr>
          <w:rFonts w:ascii="Times New Roman" w:hAnsi="Times New Roman" w:cs="Times New Roman"/>
          <w:i/>
          <w:sz w:val="24"/>
          <w:szCs w:val="24"/>
        </w:rPr>
        <w:t xml:space="preserve">acquis </w:t>
      </w:r>
      <w:proofErr w:type="spellStart"/>
      <w:r w:rsidRPr="00AB74D8">
        <w:rPr>
          <w:rFonts w:ascii="Times New Roman" w:hAnsi="Times New Roman" w:cs="Times New Roman"/>
          <w:i/>
          <w:sz w:val="24"/>
          <w:szCs w:val="24"/>
        </w:rPr>
        <w:t>communautaire</w:t>
      </w:r>
      <w:proofErr w:type="spellEnd"/>
      <w:r w:rsidRPr="00AB74D8">
        <w:rPr>
          <w:rFonts w:ascii="Times New Roman" w:hAnsi="Times New Roman" w:cs="Times New Roman"/>
          <w:sz w:val="24"/>
          <w:szCs w:val="24"/>
        </w:rPr>
        <w:t xml:space="preserve"> di matrice tributaria.</w:t>
      </w:r>
    </w:p>
    <w:p w14:paraId="09532B2E" w14:textId="77777777" w:rsidR="009042AC" w:rsidRPr="00AB74D8" w:rsidRDefault="00270A04">
      <w:pPr>
        <w:jc w:val="both"/>
        <w:rPr>
          <w:rFonts w:ascii="Times New Roman" w:hAnsi="Times New Roman" w:cs="Times New Roman"/>
          <w:sz w:val="24"/>
          <w:szCs w:val="24"/>
        </w:rPr>
      </w:pPr>
      <w:r w:rsidRPr="00AB74D8">
        <w:rPr>
          <w:rFonts w:ascii="Times New Roman" w:hAnsi="Times New Roman" w:cs="Times New Roman"/>
          <w:sz w:val="24"/>
          <w:szCs w:val="24"/>
        </w:rPr>
        <w:t xml:space="preserve">In particolare, sulla scorta di una consolidata giurisprudenza, la CGUE ha chiarito che: </w:t>
      </w:r>
    </w:p>
    <w:p w14:paraId="09532B2F" w14:textId="77777777" w:rsidR="009042AC" w:rsidRPr="00AB74D8" w:rsidRDefault="00270A04">
      <w:pPr>
        <w:jc w:val="both"/>
        <w:rPr>
          <w:rFonts w:ascii="Times New Roman" w:hAnsi="Times New Roman" w:cs="Times New Roman"/>
          <w:color w:val="FF0000"/>
          <w:sz w:val="24"/>
          <w:szCs w:val="24"/>
        </w:rPr>
      </w:pPr>
      <w:r w:rsidRPr="00AB74D8">
        <w:rPr>
          <w:rFonts w:ascii="Times New Roman" w:hAnsi="Times New Roman" w:cs="Times New Roman"/>
          <w:sz w:val="24"/>
          <w:szCs w:val="24"/>
        </w:rPr>
        <w:t>“</w:t>
      </w:r>
      <w:r w:rsidRPr="00AB74D8">
        <w:rPr>
          <w:rFonts w:ascii="Times New Roman" w:hAnsi="Times New Roman" w:cs="Times New Roman"/>
          <w:i/>
          <w:sz w:val="24"/>
          <w:szCs w:val="24"/>
        </w:rPr>
        <w:t>ai sensi dell’art. 54 TFUE, le società costituite conformemente alla legislazione di uno Stato membro e aventi la sede sociale, l’amministrazione centrale o il centro di attività principale all’interno dell’Unione, sono equiparate, ai fini dell’applicazione delle disposizioni del Trattato FUE relative alla libertà di stabilimento, alle persone fisiche aventi la cittadinanza degli Stati membri</w:t>
      </w:r>
      <w:r w:rsidRPr="00AB74D8">
        <w:rPr>
          <w:rFonts w:ascii="Times New Roman" w:hAnsi="Times New Roman" w:cs="Times New Roman"/>
          <w:sz w:val="24"/>
          <w:szCs w:val="24"/>
        </w:rPr>
        <w:t>”; ribadendo inoltre che  “</w:t>
      </w:r>
      <w:r w:rsidRPr="00AB74D8">
        <w:rPr>
          <w:rFonts w:ascii="Times New Roman" w:hAnsi="Times New Roman" w:cs="Times New Roman"/>
          <w:i/>
          <w:sz w:val="24"/>
          <w:szCs w:val="24"/>
        </w:rPr>
        <w:t xml:space="preserve">una società costituita secondo il diritto di uno Stato membro che trasferisce in un altro </w:t>
      </w:r>
      <w:r w:rsidRPr="00AB74D8">
        <w:rPr>
          <w:rFonts w:ascii="Times New Roman" w:hAnsi="Times New Roman" w:cs="Times New Roman"/>
          <w:i/>
          <w:sz w:val="24"/>
          <w:szCs w:val="24"/>
        </w:rPr>
        <w:t>Stato membro la propria sede amministrativa effettiva, [...], può invocare l’art. 49 TFUE al fine di mettere in discussione la legittimità di un'imposta ad essa applicata dal primo Stato membro in occasione di tale trasferimento di sede.</w:t>
      </w:r>
      <w:r w:rsidRPr="00AB74D8">
        <w:rPr>
          <w:rFonts w:ascii="Times New Roman" w:hAnsi="Times New Roman" w:cs="Times New Roman"/>
          <w:sz w:val="24"/>
          <w:szCs w:val="24"/>
        </w:rPr>
        <w:t>”</w:t>
      </w:r>
      <w:r w:rsidRPr="00AB74D8">
        <w:rPr>
          <w:rFonts w:ascii="Times New Roman" w:hAnsi="Times New Roman" w:cs="Times New Roman"/>
          <w:sz w:val="24"/>
          <w:szCs w:val="24"/>
          <w:vertAlign w:val="superscript"/>
        </w:rPr>
        <w:footnoteReference w:id="1"/>
      </w:r>
    </w:p>
    <w:p w14:paraId="09532B30" w14:textId="77777777" w:rsidR="009042AC" w:rsidRPr="00AB74D8" w:rsidRDefault="00270A04">
      <w:pPr>
        <w:jc w:val="both"/>
        <w:rPr>
          <w:rFonts w:ascii="Times New Roman" w:hAnsi="Times New Roman" w:cs="Times New Roman"/>
          <w:i/>
          <w:sz w:val="24"/>
          <w:szCs w:val="24"/>
        </w:rPr>
      </w:pPr>
      <w:r w:rsidRPr="00AB74D8">
        <w:rPr>
          <w:rFonts w:ascii="Times New Roman" w:hAnsi="Times New Roman" w:cs="Times New Roman"/>
          <w:sz w:val="24"/>
          <w:szCs w:val="24"/>
        </w:rPr>
        <w:t xml:space="preserve">La Corte, proprio interpretando l’articolo 49 TFUE, seppur escludendo l’effetto ostativo dello stesso alla libera determinazione del </w:t>
      </w:r>
      <w:r w:rsidRPr="00AB74D8">
        <w:rPr>
          <w:rFonts w:ascii="Times New Roman" w:hAnsi="Times New Roman" w:cs="Times New Roman"/>
          <w:i/>
          <w:sz w:val="24"/>
          <w:szCs w:val="24"/>
        </w:rPr>
        <w:t>quantum</w:t>
      </w:r>
      <w:r w:rsidRPr="00AB74D8">
        <w:rPr>
          <w:rFonts w:ascii="Times New Roman" w:hAnsi="Times New Roman" w:cs="Times New Roman"/>
          <w:sz w:val="24"/>
          <w:szCs w:val="24"/>
        </w:rPr>
        <w:t xml:space="preserve"> dell’imposta applicabile dallo Stato “della fonte”, ha comunque precisato come la libertà di stabilimento debba considerarsi violata in presenza di </w:t>
      </w:r>
      <w:r w:rsidRPr="00AB74D8">
        <w:rPr>
          <w:rFonts w:ascii="Times New Roman" w:hAnsi="Times New Roman" w:cs="Times New Roman"/>
          <w:i/>
          <w:sz w:val="24"/>
          <w:szCs w:val="24"/>
        </w:rPr>
        <w:t>“una normativa nazionale che impone ad una società che trasferisce in un altro Stato membro la propria sede amministrativa effettiva la riscossione immediata, al momento stesso di tale trasferimento, dell’imposta sulle plusvalenze latenti relative agli elementi patrimoniali di tale società.”</w:t>
      </w:r>
      <w:r w:rsidRPr="00AB74D8">
        <w:rPr>
          <w:rFonts w:ascii="Times New Roman" w:hAnsi="Times New Roman" w:cs="Times New Roman"/>
          <w:i/>
          <w:sz w:val="24"/>
          <w:szCs w:val="24"/>
          <w:vertAlign w:val="superscript"/>
        </w:rPr>
        <w:footnoteReference w:id="2"/>
      </w:r>
    </w:p>
    <w:p w14:paraId="09532B31" w14:textId="77777777" w:rsidR="009042AC" w:rsidRPr="00AB74D8" w:rsidRDefault="00270A04">
      <w:pPr>
        <w:jc w:val="both"/>
        <w:rPr>
          <w:rFonts w:ascii="Times New Roman" w:hAnsi="Times New Roman" w:cs="Times New Roman"/>
          <w:sz w:val="24"/>
          <w:szCs w:val="24"/>
        </w:rPr>
      </w:pPr>
      <w:r w:rsidRPr="00AB74D8">
        <w:rPr>
          <w:rFonts w:ascii="Times New Roman" w:hAnsi="Times New Roman" w:cs="Times New Roman"/>
          <w:sz w:val="24"/>
          <w:szCs w:val="24"/>
        </w:rPr>
        <w:t>L’Italia, per adeguarsi ai parametri delineati dalle pronunce</w:t>
      </w:r>
      <w:r w:rsidRPr="00AB74D8">
        <w:rPr>
          <w:rFonts w:ascii="Times New Roman" w:hAnsi="Times New Roman" w:cs="Times New Roman"/>
          <w:sz w:val="24"/>
          <w:szCs w:val="24"/>
          <w:vertAlign w:val="superscript"/>
        </w:rPr>
        <w:footnoteReference w:id="3"/>
      </w:r>
      <w:r w:rsidRPr="00AB74D8">
        <w:rPr>
          <w:rFonts w:ascii="Times New Roman" w:hAnsi="Times New Roman" w:cs="Times New Roman"/>
          <w:sz w:val="24"/>
          <w:szCs w:val="24"/>
        </w:rPr>
        <w:t xml:space="preserve"> della CGUE, ha previsto la possibilità per la società interessata di non versare immediatamente l’intera imposta sulle plusvalenze latenti, consentendo invece la sospensione o la rateizzazione del pagamento al </w:t>
      </w:r>
      <w:r w:rsidRPr="00AB74D8">
        <w:rPr>
          <w:rFonts w:ascii="Times New Roman" w:hAnsi="Times New Roman" w:cs="Times New Roman"/>
          <w:sz w:val="24"/>
          <w:szCs w:val="24"/>
        </w:rPr>
        <w:lastRenderedPageBreak/>
        <w:t>momento del trasferimento della residenza fiscale in un altro Stato membro dell’UE o dello SEE.</w:t>
      </w:r>
    </w:p>
    <w:p w14:paraId="09532B32" w14:textId="77777777" w:rsidR="009042AC" w:rsidRPr="00AB74D8" w:rsidRDefault="00270A04">
      <w:pPr>
        <w:jc w:val="both"/>
        <w:rPr>
          <w:rFonts w:ascii="Times New Roman" w:hAnsi="Times New Roman" w:cs="Times New Roman"/>
          <w:sz w:val="24"/>
          <w:szCs w:val="24"/>
        </w:rPr>
      </w:pPr>
      <w:r w:rsidRPr="00AB74D8">
        <w:rPr>
          <w:rFonts w:ascii="Times New Roman" w:hAnsi="Times New Roman" w:cs="Times New Roman"/>
          <w:sz w:val="24"/>
          <w:szCs w:val="24"/>
        </w:rPr>
        <w:t>Al contrario, in ragione del recente accordo di associazione stipulato con l’Unione europea, in difetto del menzionato presidio di tutela, l’ordinamento giuridico della Repubblica di San Marino rischia di trovarsi in collisione con l’articolo 49 TFUE per come interpretato ed applicato nelle pronunce richiamate.</w:t>
      </w:r>
    </w:p>
    <w:p w14:paraId="09532B33" w14:textId="77777777" w:rsidR="009042AC" w:rsidRPr="00AB74D8" w:rsidRDefault="009042AC">
      <w:pPr>
        <w:jc w:val="both"/>
        <w:rPr>
          <w:rFonts w:ascii="Times New Roman" w:hAnsi="Times New Roman" w:cs="Times New Roman"/>
          <w:sz w:val="24"/>
          <w:szCs w:val="24"/>
        </w:rPr>
      </w:pPr>
    </w:p>
    <w:p w14:paraId="09532B34" w14:textId="77777777" w:rsidR="009042AC" w:rsidRPr="00AB74D8" w:rsidRDefault="00270A04">
      <w:pPr>
        <w:numPr>
          <w:ilvl w:val="0"/>
          <w:numId w:val="1"/>
        </w:numPr>
        <w:jc w:val="both"/>
        <w:rPr>
          <w:rFonts w:ascii="Times New Roman" w:hAnsi="Times New Roman" w:cs="Times New Roman"/>
          <w:i/>
          <w:sz w:val="24"/>
          <w:szCs w:val="24"/>
        </w:rPr>
      </w:pPr>
      <w:r w:rsidRPr="00AB74D8">
        <w:rPr>
          <w:rFonts w:ascii="Times New Roman" w:hAnsi="Times New Roman" w:cs="Times New Roman"/>
          <w:i/>
          <w:sz w:val="24"/>
          <w:szCs w:val="24"/>
        </w:rPr>
        <w:t>La disciplina sammarinese in materia di tassazione delle plusvalenze latenti rispetta i principi di proporzionalità e libertà di stabilimento sanciti dall’articolo 49 TFUE (per come interpretati dalla Corte di Giustizia dell’Unione europea)?</w:t>
      </w:r>
      <w:r w:rsidRPr="00AB74D8">
        <w:rPr>
          <w:rFonts w:ascii="Times New Roman" w:hAnsi="Times New Roman" w:cs="Times New Roman"/>
          <w:i/>
          <w:sz w:val="24"/>
          <w:szCs w:val="24"/>
        </w:rPr>
        <w:br/>
      </w:r>
    </w:p>
    <w:p w14:paraId="09532B35" w14:textId="77777777" w:rsidR="009042AC" w:rsidRPr="00AB74D8" w:rsidRDefault="00270A04">
      <w:pPr>
        <w:numPr>
          <w:ilvl w:val="0"/>
          <w:numId w:val="1"/>
        </w:numPr>
        <w:jc w:val="both"/>
        <w:rPr>
          <w:rFonts w:ascii="Times New Roman" w:hAnsi="Times New Roman" w:cs="Times New Roman"/>
          <w:i/>
          <w:sz w:val="24"/>
          <w:szCs w:val="24"/>
        </w:rPr>
      </w:pPr>
      <w:r w:rsidRPr="00AB74D8">
        <w:rPr>
          <w:rFonts w:ascii="Times New Roman" w:hAnsi="Times New Roman" w:cs="Times New Roman"/>
          <w:i/>
          <w:sz w:val="24"/>
          <w:szCs w:val="24"/>
        </w:rPr>
        <w:t>L’assenza, nell’ordinamento sammarinese, di un meccanismo di sospensione o rateizzazione dell’imposta in uscita può costituire una restrizione ingiustificata alla libertà di stabilimento riconosciuta dal diritto dell’Unione europea?</w:t>
      </w:r>
    </w:p>
    <w:p w14:paraId="09532B36" w14:textId="77777777" w:rsidR="009042AC" w:rsidRPr="00AB74D8" w:rsidRDefault="009042AC">
      <w:pPr>
        <w:jc w:val="both"/>
        <w:rPr>
          <w:rFonts w:ascii="Times New Roman" w:hAnsi="Times New Roman" w:cs="Times New Roman"/>
          <w:sz w:val="24"/>
          <w:szCs w:val="24"/>
        </w:rPr>
      </w:pPr>
    </w:p>
    <w:p w14:paraId="09532B37" w14:textId="77777777" w:rsidR="009042AC" w:rsidRPr="00AB74D8" w:rsidRDefault="00270A04">
      <w:pPr>
        <w:jc w:val="both"/>
        <w:rPr>
          <w:rFonts w:ascii="Times New Roman" w:hAnsi="Times New Roman" w:cs="Times New Roman"/>
          <w:sz w:val="24"/>
          <w:szCs w:val="24"/>
        </w:rPr>
      </w:pPr>
      <w:r w:rsidRPr="00AB74D8">
        <w:rPr>
          <w:rFonts w:ascii="Times New Roman" w:hAnsi="Times New Roman" w:cs="Times New Roman"/>
          <w:sz w:val="24"/>
          <w:szCs w:val="24"/>
        </w:rPr>
        <w:t>Proseguendo con la trattazione dei profili fiscali interessati dalla sottoscrizione dell’accordo di adesione tra San Marino e l’UE, occorre domandarsi se la tutela offerta dalla libertà di stabilimento per come delineata dai paragrafi precedenti possa estendersi anche ai Trust. In questo senso, l’apporto ermeneutico decisivo è stato fornito dalla CGUE nella causa C-646/15 del 14 settembre 2017. In particolare, la Corte ha stabilito che un trust residente in uno Stato membro può beneficiare delle libertà fon</w:t>
      </w:r>
      <w:r w:rsidRPr="00AB74D8">
        <w:rPr>
          <w:rFonts w:ascii="Times New Roman" w:hAnsi="Times New Roman" w:cs="Times New Roman"/>
          <w:sz w:val="24"/>
          <w:szCs w:val="24"/>
        </w:rPr>
        <w:t>damentali previste dal Trattato sul funzionamento dell’Unione europea, qualora la normativa nazionale dello Stato di costituzione riconosca ai beni conferiti in un trust a fini di lucro la natura di patrimonio separato e distinto da quello personale del trustee.</w:t>
      </w:r>
    </w:p>
    <w:p w14:paraId="09532B38" w14:textId="77777777" w:rsidR="009042AC" w:rsidRPr="00AB74D8" w:rsidRDefault="00270A04">
      <w:pPr>
        <w:jc w:val="both"/>
        <w:rPr>
          <w:rFonts w:ascii="Times New Roman" w:hAnsi="Times New Roman" w:cs="Times New Roman"/>
          <w:sz w:val="24"/>
          <w:szCs w:val="24"/>
        </w:rPr>
      </w:pPr>
      <w:r w:rsidRPr="00AB74D8">
        <w:rPr>
          <w:rFonts w:ascii="Times New Roman" w:hAnsi="Times New Roman" w:cs="Times New Roman"/>
          <w:sz w:val="24"/>
          <w:szCs w:val="24"/>
        </w:rPr>
        <w:t>A tal proposito, l’articolo 12 della legge 1° marzo 2010 N. 42 della Repubblica di San Marino prevede che “</w:t>
      </w:r>
      <w:r w:rsidRPr="00AB74D8">
        <w:rPr>
          <w:rFonts w:ascii="Times New Roman" w:hAnsi="Times New Roman" w:cs="Times New Roman"/>
          <w:i/>
          <w:sz w:val="24"/>
          <w:szCs w:val="24"/>
        </w:rPr>
        <w:t>Il fondo in trust è separato dai beni personali del trustee e da quelli di pertinenza di altri soggetti [...].</w:t>
      </w:r>
      <w:r w:rsidRPr="00AB74D8">
        <w:rPr>
          <w:rFonts w:ascii="Times New Roman" w:hAnsi="Times New Roman" w:cs="Times New Roman"/>
          <w:sz w:val="24"/>
          <w:szCs w:val="24"/>
        </w:rPr>
        <w:t>”</w:t>
      </w:r>
    </w:p>
    <w:p w14:paraId="09532B39" w14:textId="77777777" w:rsidR="009042AC" w:rsidRPr="00AB74D8" w:rsidRDefault="00270A04">
      <w:pPr>
        <w:jc w:val="both"/>
        <w:rPr>
          <w:rFonts w:ascii="Times New Roman" w:hAnsi="Times New Roman" w:cs="Times New Roman"/>
          <w:sz w:val="24"/>
          <w:szCs w:val="24"/>
        </w:rPr>
      </w:pPr>
      <w:r w:rsidRPr="00AB74D8">
        <w:rPr>
          <w:rFonts w:ascii="Times New Roman" w:hAnsi="Times New Roman" w:cs="Times New Roman"/>
          <w:sz w:val="24"/>
          <w:szCs w:val="24"/>
        </w:rPr>
        <w:t>Di conseguenza, trovando piena applicazione anche con riferimento ai trust ivi costituiti, il principio di diritto stabilito dalla Corte di Lussemburgo ripropone lo stesso problema poc’anzi analizzato in relazione ai trust sammarinesi.</w:t>
      </w:r>
    </w:p>
    <w:p w14:paraId="09532B3A" w14:textId="77777777" w:rsidR="009042AC" w:rsidRPr="00AB74D8" w:rsidRDefault="009042AC">
      <w:pPr>
        <w:jc w:val="both"/>
        <w:rPr>
          <w:rFonts w:ascii="Times New Roman" w:hAnsi="Times New Roman" w:cs="Times New Roman"/>
          <w:sz w:val="24"/>
          <w:szCs w:val="24"/>
        </w:rPr>
      </w:pPr>
    </w:p>
    <w:p w14:paraId="09532B3B" w14:textId="77777777" w:rsidR="009042AC" w:rsidRPr="00AB74D8" w:rsidRDefault="00270A04">
      <w:pPr>
        <w:numPr>
          <w:ilvl w:val="0"/>
          <w:numId w:val="1"/>
        </w:numPr>
        <w:jc w:val="both"/>
        <w:rPr>
          <w:rFonts w:ascii="Times New Roman" w:hAnsi="Times New Roman" w:cs="Times New Roman"/>
          <w:i/>
          <w:sz w:val="24"/>
          <w:szCs w:val="24"/>
        </w:rPr>
      </w:pPr>
      <w:r w:rsidRPr="00AB74D8">
        <w:rPr>
          <w:rFonts w:ascii="Times New Roman" w:hAnsi="Times New Roman" w:cs="Times New Roman"/>
          <w:i/>
          <w:sz w:val="24"/>
          <w:szCs w:val="24"/>
        </w:rPr>
        <w:t>Il regime fiscale applicabile ai trust sammarinesi è compatibile con l’interpretazione della libertà di stabilimento fornita dalla Corte di giustizia nella causa C-646/15?</w:t>
      </w:r>
    </w:p>
    <w:sectPr w:rsidR="009042AC" w:rsidRPr="00AB74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32B3E" w14:textId="77777777" w:rsidR="00971EF9" w:rsidRDefault="00971EF9">
      <w:pPr>
        <w:spacing w:line="240" w:lineRule="auto"/>
      </w:pPr>
      <w:r>
        <w:separator/>
      </w:r>
    </w:p>
  </w:endnote>
  <w:endnote w:type="continuationSeparator" w:id="0">
    <w:p w14:paraId="09532B3F" w14:textId="77777777" w:rsidR="00971EF9" w:rsidRDefault="00971E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AE512BF-8738-A648-93C9-1A20D39A4957}"/>
    <w:embedBold r:id="rId2" w:fontKey="{58ACC74E-7A39-9E43-BEEC-16675215FF1F}"/>
    <w:embedItalic r:id="rId3" w:fontKey="{00C4E3F1-E4C6-5548-A7FB-984C53625E10}"/>
  </w:font>
  <w:font w:name="Arial">
    <w:panose1 w:val="020B0604020202020204"/>
    <w:charset w:val="00"/>
    <w:family w:val="swiss"/>
    <w:pitch w:val="variable"/>
    <w:sig w:usb0="E0002EFF" w:usb1="C000785B" w:usb2="00000009" w:usb3="00000000" w:csb0="000001FF" w:csb1="00000000"/>
    <w:embedRegular r:id="rId4" w:fontKey="{342F86DD-0BCC-6843-BB68-B8715021A639}"/>
    <w:embedBold r:id="rId5" w:fontKey="{21C2B02C-39EE-2C46-8D33-2C1630933CFD}"/>
    <w:embedItalic r:id="rId6" w:fontKey="{045A9E1D-0DA8-B048-9739-60A6CB0F177D}"/>
  </w:font>
  <w:font w:name="Calibri">
    <w:panose1 w:val="020F0502020204030204"/>
    <w:charset w:val="00"/>
    <w:family w:val="swiss"/>
    <w:pitch w:val="variable"/>
    <w:sig w:usb0="E0002AFF" w:usb1="C000247B" w:usb2="00000009" w:usb3="00000000" w:csb0="000001FF" w:csb1="00000000"/>
    <w:embedRegular r:id="rId7" w:fontKey="{238982FC-5D4E-A945-933B-2962EB21CE53}"/>
  </w:font>
  <w:font w:name="Cambria">
    <w:panose1 w:val="02040503050406030204"/>
    <w:charset w:val="00"/>
    <w:family w:val="roman"/>
    <w:pitch w:val="variable"/>
    <w:sig w:usb0="E00002FF" w:usb1="400004FF" w:usb2="00000000" w:usb3="00000000" w:csb0="0000019F" w:csb1="00000000"/>
    <w:embedRegular r:id="rId8" w:fontKey="{91E1FC97-0A08-0846-B884-6B4439FEEC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32B3C" w14:textId="77777777" w:rsidR="00971EF9" w:rsidRDefault="00971EF9">
      <w:pPr>
        <w:spacing w:line="240" w:lineRule="auto"/>
      </w:pPr>
      <w:r>
        <w:separator/>
      </w:r>
    </w:p>
  </w:footnote>
  <w:footnote w:type="continuationSeparator" w:id="0">
    <w:p w14:paraId="09532B3D" w14:textId="77777777" w:rsidR="00971EF9" w:rsidRDefault="00971EF9">
      <w:pPr>
        <w:spacing w:line="240" w:lineRule="auto"/>
      </w:pPr>
      <w:r>
        <w:continuationSeparator/>
      </w:r>
    </w:p>
  </w:footnote>
  <w:footnote w:id="1">
    <w:p w14:paraId="09532B40" w14:textId="77777777" w:rsidR="009042AC" w:rsidRPr="00270A04" w:rsidRDefault="00270A04">
      <w:pPr>
        <w:spacing w:line="240" w:lineRule="auto"/>
        <w:rPr>
          <w:rFonts w:ascii="Times New Roman" w:hAnsi="Times New Roman" w:cs="Times New Roman"/>
          <w:sz w:val="20"/>
          <w:szCs w:val="20"/>
        </w:rPr>
      </w:pPr>
      <w:r w:rsidRPr="00270A04">
        <w:rPr>
          <w:rFonts w:ascii="Times New Roman" w:hAnsi="Times New Roman" w:cs="Times New Roman"/>
          <w:sz w:val="20"/>
          <w:szCs w:val="20"/>
          <w:vertAlign w:val="superscript"/>
        </w:rPr>
        <w:footnoteRef/>
      </w:r>
      <w:r w:rsidRPr="00270A04">
        <w:rPr>
          <w:rFonts w:ascii="Times New Roman" w:hAnsi="Times New Roman" w:cs="Times New Roman"/>
          <w:sz w:val="20"/>
          <w:szCs w:val="20"/>
        </w:rPr>
        <w:t xml:space="preserve"> ECLI:EU:C:2011:785 (punto 25)</w:t>
      </w:r>
    </w:p>
  </w:footnote>
  <w:footnote w:id="2">
    <w:p w14:paraId="09532B41" w14:textId="77777777" w:rsidR="009042AC" w:rsidRPr="00270A04" w:rsidRDefault="00270A04">
      <w:pPr>
        <w:spacing w:line="240" w:lineRule="auto"/>
        <w:rPr>
          <w:rFonts w:ascii="Times New Roman" w:hAnsi="Times New Roman" w:cs="Times New Roman"/>
          <w:sz w:val="20"/>
          <w:szCs w:val="20"/>
        </w:rPr>
      </w:pPr>
      <w:r w:rsidRPr="00270A04">
        <w:rPr>
          <w:rFonts w:ascii="Times New Roman" w:hAnsi="Times New Roman" w:cs="Times New Roman"/>
          <w:sz w:val="20"/>
          <w:szCs w:val="20"/>
          <w:vertAlign w:val="superscript"/>
        </w:rPr>
        <w:footnoteRef/>
      </w:r>
      <w:r w:rsidRPr="00270A04">
        <w:rPr>
          <w:rFonts w:ascii="Times New Roman" w:hAnsi="Times New Roman" w:cs="Times New Roman"/>
          <w:sz w:val="20"/>
          <w:szCs w:val="20"/>
        </w:rPr>
        <w:t xml:space="preserve"> ECLI:EU:C:2011:785 (punto 85)</w:t>
      </w:r>
    </w:p>
  </w:footnote>
  <w:footnote w:id="3">
    <w:p w14:paraId="09532B42" w14:textId="77777777" w:rsidR="009042AC" w:rsidRPr="00270A04" w:rsidRDefault="00270A04">
      <w:pPr>
        <w:spacing w:line="240" w:lineRule="auto"/>
        <w:rPr>
          <w:rFonts w:ascii="Times New Roman" w:hAnsi="Times New Roman" w:cs="Times New Roman"/>
          <w:sz w:val="20"/>
          <w:szCs w:val="20"/>
        </w:rPr>
      </w:pPr>
      <w:r w:rsidRPr="00270A04">
        <w:rPr>
          <w:rFonts w:ascii="Times New Roman" w:hAnsi="Times New Roman" w:cs="Times New Roman"/>
          <w:sz w:val="20"/>
          <w:szCs w:val="20"/>
          <w:vertAlign w:val="superscript"/>
        </w:rPr>
        <w:footnoteRef/>
      </w:r>
      <w:r w:rsidRPr="00270A04">
        <w:rPr>
          <w:rFonts w:ascii="Times New Roman" w:hAnsi="Times New Roman" w:cs="Times New Roman"/>
          <w:sz w:val="20"/>
          <w:szCs w:val="20"/>
        </w:rPr>
        <w:t xml:space="preserve"> Principio ribadito in termini quasi analoghi nella causa C-75/15 (ECLI:EU:C:2016:35)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B2C3A"/>
    <w:multiLevelType w:val="multilevel"/>
    <w:tmpl w:val="99608A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87393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2AC"/>
    <w:rsid w:val="00270A04"/>
    <w:rsid w:val="0056760C"/>
    <w:rsid w:val="008E3D71"/>
    <w:rsid w:val="009042AC"/>
    <w:rsid w:val="00971EF9"/>
    <w:rsid w:val="00A4003C"/>
    <w:rsid w:val="00AB74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9532B29"/>
  <w15:docId w15:val="{349F8BEC-4A6D-1D43-A931-B58FE7DDE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817</Words>
  <Characters>4659</Characters>
  <Application>Microsoft Office Word</Application>
  <DocSecurity>0</DocSecurity>
  <Lines>38</Lines>
  <Paragraphs>10</Paragraphs>
  <ScaleCrop>false</ScaleCrop>
  <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Greggi Marco</cp:lastModifiedBy>
  <cp:revision>4</cp:revision>
  <dcterms:created xsi:type="dcterms:W3CDTF">2025-11-06T18:58:00Z</dcterms:created>
  <dcterms:modified xsi:type="dcterms:W3CDTF">2025-11-08T11:57:00Z</dcterms:modified>
</cp:coreProperties>
</file>