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308C" w14:textId="5D09E8BE" w:rsidR="0016634E" w:rsidRPr="007A0794" w:rsidRDefault="00F04347" w:rsidP="0016634E">
      <w:pPr>
        <w:jc w:val="both"/>
        <w:rPr>
          <w:rFonts w:ascii="Times New Roman" w:hAnsi="Times New Roman" w:cs="Times New Roman"/>
          <w:b/>
          <w:bCs/>
        </w:rPr>
      </w:pPr>
      <w:r w:rsidRPr="007A0794">
        <w:rPr>
          <w:rFonts w:ascii="Times New Roman" w:hAnsi="Times New Roman" w:cs="Times New Roman"/>
          <w:b/>
          <w:bCs/>
        </w:rPr>
        <w:t>La proiezione esterna dell’</w:t>
      </w:r>
      <w:r w:rsidRPr="007A0794">
        <w:rPr>
          <w:rFonts w:ascii="Times New Roman" w:hAnsi="Times New Roman" w:cs="Times New Roman"/>
          <w:b/>
          <w:bCs/>
          <w:i/>
          <w:iCs/>
        </w:rPr>
        <w:t>acquis</w:t>
      </w:r>
      <w:r w:rsidRPr="007A0794">
        <w:rPr>
          <w:rFonts w:ascii="Times New Roman" w:hAnsi="Times New Roman" w:cs="Times New Roman"/>
          <w:b/>
          <w:bCs/>
        </w:rPr>
        <w:t xml:space="preserve"> comunitario in materia di libera circolazione dei capitali: autonomia fiscale degli Stati membri e integrazione a geometri</w:t>
      </w:r>
      <w:r w:rsidR="003620DF" w:rsidRPr="007A0794">
        <w:rPr>
          <w:rFonts w:ascii="Times New Roman" w:hAnsi="Times New Roman" w:cs="Times New Roman"/>
          <w:b/>
          <w:bCs/>
        </w:rPr>
        <w:t>e</w:t>
      </w:r>
      <w:r w:rsidRPr="007A0794">
        <w:rPr>
          <w:rFonts w:ascii="Times New Roman" w:hAnsi="Times New Roman" w:cs="Times New Roman"/>
          <w:b/>
          <w:bCs/>
        </w:rPr>
        <w:t xml:space="preserve"> variabil</w:t>
      </w:r>
      <w:r w:rsidR="003620DF" w:rsidRPr="007A0794">
        <w:rPr>
          <w:rFonts w:ascii="Times New Roman" w:hAnsi="Times New Roman" w:cs="Times New Roman"/>
          <w:b/>
          <w:bCs/>
        </w:rPr>
        <w:t>i</w:t>
      </w:r>
      <w:r w:rsidR="0016634E" w:rsidRPr="007A0794">
        <w:rPr>
          <w:rFonts w:ascii="Times New Roman" w:hAnsi="Times New Roman" w:cs="Times New Roman"/>
          <w:b/>
          <w:bCs/>
        </w:rPr>
        <w:t xml:space="preserve"> </w:t>
      </w:r>
    </w:p>
    <w:p w14:paraId="5D4C2885" w14:textId="7FAFB594" w:rsidR="0038518A" w:rsidRPr="007A0794" w:rsidRDefault="0038518A" w:rsidP="0016634E">
      <w:pPr>
        <w:jc w:val="both"/>
        <w:rPr>
          <w:rFonts w:ascii="Times New Roman" w:hAnsi="Times New Roman" w:cs="Times New Roman"/>
        </w:rPr>
      </w:pPr>
      <w:r w:rsidRPr="007A0794">
        <w:rPr>
          <w:rFonts w:ascii="Times New Roman" w:hAnsi="Times New Roman" w:cs="Times New Roman"/>
        </w:rPr>
        <w:t>Francesco</w:t>
      </w:r>
      <w:r w:rsidR="007A0794" w:rsidRPr="007A0794">
        <w:rPr>
          <w:rFonts w:ascii="Times New Roman" w:hAnsi="Times New Roman" w:cs="Times New Roman"/>
        </w:rPr>
        <w:t xml:space="preserve"> Castro,</w:t>
      </w:r>
      <w:r w:rsidRPr="007A0794">
        <w:rPr>
          <w:rFonts w:ascii="Times New Roman" w:hAnsi="Times New Roman" w:cs="Times New Roman"/>
        </w:rPr>
        <w:t xml:space="preserve"> Università di Ferrara</w:t>
      </w:r>
    </w:p>
    <w:p w14:paraId="68C68E86" w14:textId="77777777" w:rsidR="002C4AFB" w:rsidRPr="007A0794" w:rsidRDefault="002C4AFB" w:rsidP="00EC7FAB">
      <w:pPr>
        <w:jc w:val="both"/>
        <w:rPr>
          <w:rFonts w:ascii="Times New Roman" w:hAnsi="Times New Roman" w:cs="Times New Roman"/>
        </w:rPr>
      </w:pPr>
    </w:p>
    <w:p w14:paraId="32E360B3" w14:textId="77777777" w:rsidR="001F5853" w:rsidRPr="007A0794" w:rsidRDefault="001F5853" w:rsidP="001F5853">
      <w:pPr>
        <w:jc w:val="both"/>
        <w:rPr>
          <w:rFonts w:ascii="Times New Roman" w:hAnsi="Times New Roman" w:cs="Times New Roman"/>
        </w:rPr>
      </w:pPr>
      <w:r w:rsidRPr="007A0794">
        <w:rPr>
          <w:rFonts w:ascii="Times New Roman" w:hAnsi="Times New Roman" w:cs="Times New Roman"/>
        </w:rPr>
        <w:t>La libera circolazione dei capitali rappresenta, tra le libertà fondamentali del Trattato, quella che più chiaramente manifesta la vocazione “esterna” dell’</w:t>
      </w:r>
      <w:r w:rsidRPr="007A0794">
        <w:rPr>
          <w:rFonts w:ascii="Times New Roman" w:hAnsi="Times New Roman" w:cs="Times New Roman"/>
          <w:i/>
          <w:iCs/>
        </w:rPr>
        <w:t>acquis</w:t>
      </w:r>
      <w:r w:rsidRPr="007A0794">
        <w:rPr>
          <w:rFonts w:ascii="Times New Roman" w:hAnsi="Times New Roman" w:cs="Times New Roman"/>
        </w:rPr>
        <w:t xml:space="preserve"> comunitario. Essa si applica, infatti, non solo ai rapporti interni all’Unione, ma anche a quelli con i Paesi terzi, assumendo un ruolo di cerniera tra il diritto dell’Unione e l’ordinamento internazionale. Tale apertura funzionale determina una progressiva erosione del confine tra integrazione economica e cooperazione convenzionale, nonché tra sovranità fiscale e convergenza sistemica.</w:t>
      </w:r>
    </w:p>
    <w:p w14:paraId="58018778" w14:textId="2323209B" w:rsidR="001F5853" w:rsidRPr="007A0794" w:rsidRDefault="001F5853" w:rsidP="001F5853">
      <w:pPr>
        <w:jc w:val="both"/>
        <w:rPr>
          <w:rFonts w:ascii="Times New Roman" w:hAnsi="Times New Roman" w:cs="Times New Roman"/>
        </w:rPr>
      </w:pPr>
      <w:r w:rsidRPr="007A0794">
        <w:rPr>
          <w:rFonts w:ascii="Times New Roman" w:hAnsi="Times New Roman" w:cs="Times New Roman"/>
        </w:rPr>
        <w:t xml:space="preserve">L’orientamento espresso dalla Corte di </w:t>
      </w:r>
      <w:r w:rsidR="007A0794">
        <w:rPr>
          <w:rFonts w:ascii="Times New Roman" w:hAnsi="Times New Roman" w:cs="Times New Roman"/>
        </w:rPr>
        <w:t>C</w:t>
      </w:r>
      <w:r w:rsidRPr="007A0794">
        <w:rPr>
          <w:rFonts w:ascii="Times New Roman" w:hAnsi="Times New Roman" w:cs="Times New Roman"/>
        </w:rPr>
        <w:t xml:space="preserve">assazione n. 21454/2022, che ha applicato l’art. 63 TFUE per censurare la tassazione discriminatoria dei dividendi corrisposti a investitori extra-UE, e la sentenza della Corte di giustizia del 30 maggio 2024 (causa C-627/22, </w:t>
      </w:r>
      <w:r w:rsidRPr="007A0794">
        <w:rPr>
          <w:rFonts w:ascii="Times New Roman" w:hAnsi="Times New Roman" w:cs="Times New Roman"/>
          <w:i/>
          <w:iCs/>
        </w:rPr>
        <w:t>AB</w:t>
      </w:r>
      <w:r w:rsidRPr="007A0794">
        <w:rPr>
          <w:rFonts w:ascii="Times New Roman" w:hAnsi="Times New Roman" w:cs="Times New Roman"/>
        </w:rPr>
        <w:t>), che ha esteso il principio di parità di trattamento ai cittadini dell’Unione residenti in Svizzera, evidenziano come i principi di non discriminazione, proporzionalità e tutela dell’affidamento stiano progressivamente operando come limiti esterni all’autonomia impositiva degli Stati membri. Ne risulta una forma di coordinamento fiscale</w:t>
      </w:r>
      <w:r w:rsidR="0051552C" w:rsidRPr="007A0794">
        <w:rPr>
          <w:rFonts w:ascii="Times New Roman" w:hAnsi="Times New Roman" w:cs="Times New Roman"/>
        </w:rPr>
        <w:t xml:space="preserve"> rafforzato (specialmente con determinati stati terzi)</w:t>
      </w:r>
      <w:r w:rsidRPr="007A0794">
        <w:rPr>
          <w:rFonts w:ascii="Times New Roman" w:hAnsi="Times New Roman" w:cs="Times New Roman"/>
        </w:rPr>
        <w:t xml:space="preserve">, nel quale il diritto dell’Unione orienta </w:t>
      </w:r>
      <w:r w:rsidR="0051552C" w:rsidRPr="007A0794">
        <w:rPr>
          <w:rFonts w:ascii="Times New Roman" w:hAnsi="Times New Roman" w:cs="Times New Roman"/>
        </w:rPr>
        <w:t xml:space="preserve">(e può orientare) </w:t>
      </w:r>
      <w:r w:rsidRPr="007A0794">
        <w:rPr>
          <w:rFonts w:ascii="Times New Roman" w:hAnsi="Times New Roman" w:cs="Times New Roman"/>
        </w:rPr>
        <w:t>l’evoluzione dei regimi nazionali e convenzionali senza ricorrere a</w:t>
      </w:r>
      <w:r w:rsidR="0051552C" w:rsidRPr="007A0794">
        <w:rPr>
          <w:rFonts w:ascii="Times New Roman" w:hAnsi="Times New Roman" w:cs="Times New Roman"/>
        </w:rPr>
        <w:t>d</w:t>
      </w:r>
      <w:r w:rsidRPr="007A0794">
        <w:rPr>
          <w:rFonts w:ascii="Times New Roman" w:hAnsi="Times New Roman" w:cs="Times New Roman"/>
        </w:rPr>
        <w:t xml:space="preserve"> </w:t>
      </w:r>
      <w:r w:rsidR="0051552C" w:rsidRPr="007A0794">
        <w:rPr>
          <w:rFonts w:ascii="Times New Roman" w:hAnsi="Times New Roman" w:cs="Times New Roman"/>
        </w:rPr>
        <w:t xml:space="preserve">ulteriori </w:t>
      </w:r>
      <w:r w:rsidRPr="007A0794">
        <w:rPr>
          <w:rFonts w:ascii="Times New Roman" w:hAnsi="Times New Roman" w:cs="Times New Roman"/>
        </w:rPr>
        <w:t>strumenti di armonizzazione formale.</w:t>
      </w:r>
    </w:p>
    <w:p w14:paraId="4DB6FBA2" w14:textId="42B5C35C" w:rsidR="001F5853" w:rsidRPr="007A0794" w:rsidRDefault="001F5853" w:rsidP="001F5853">
      <w:pPr>
        <w:jc w:val="both"/>
        <w:rPr>
          <w:rFonts w:ascii="Times New Roman" w:hAnsi="Times New Roman" w:cs="Times New Roman"/>
        </w:rPr>
      </w:pPr>
      <w:r w:rsidRPr="007A0794">
        <w:rPr>
          <w:rFonts w:ascii="Times New Roman" w:hAnsi="Times New Roman" w:cs="Times New Roman"/>
        </w:rPr>
        <w:t>Questa dinamica trova un fondamento istituzionale esplicito negli artt. 27 e ss. dell’Accordo di associazione UE–San Marino, che introducono un meccanismo di integrazione dinamica dell’</w:t>
      </w:r>
      <w:r w:rsidRPr="007A0794">
        <w:rPr>
          <w:rFonts w:ascii="Times New Roman" w:hAnsi="Times New Roman" w:cs="Times New Roman"/>
          <w:i/>
          <w:iCs/>
        </w:rPr>
        <w:t>acquis</w:t>
      </w:r>
      <w:r w:rsidRPr="007A0794">
        <w:rPr>
          <w:rFonts w:ascii="Times New Roman" w:hAnsi="Times New Roman" w:cs="Times New Roman"/>
        </w:rPr>
        <w:t xml:space="preserve"> comunitario. Tali clausole operano come veri e propri canali di recepimento funzionale dell’</w:t>
      </w:r>
      <w:r w:rsidRPr="007A0794">
        <w:rPr>
          <w:rFonts w:ascii="Times New Roman" w:hAnsi="Times New Roman" w:cs="Times New Roman"/>
          <w:i/>
          <w:iCs/>
        </w:rPr>
        <w:t>acquis</w:t>
      </w:r>
      <w:r w:rsidRPr="007A0794">
        <w:rPr>
          <w:rFonts w:ascii="Times New Roman" w:hAnsi="Times New Roman" w:cs="Times New Roman"/>
        </w:rPr>
        <w:t>, configurando un sistema in cui la vigenza dei principi unionali non dipende più dalla formale adesione ai Trattati, ma dal riconoscimento del loro valore paradigmatico.</w:t>
      </w:r>
    </w:p>
    <w:p w14:paraId="7FE0450C" w14:textId="2E358DD0" w:rsidR="001F5853" w:rsidRPr="007A0794" w:rsidRDefault="001F5853" w:rsidP="001F5853">
      <w:pPr>
        <w:jc w:val="both"/>
        <w:rPr>
          <w:rFonts w:ascii="Times New Roman" w:hAnsi="Times New Roman" w:cs="Times New Roman"/>
        </w:rPr>
      </w:pPr>
      <w:r w:rsidRPr="007A0794">
        <w:rPr>
          <w:rFonts w:ascii="Times New Roman" w:hAnsi="Times New Roman" w:cs="Times New Roman"/>
        </w:rPr>
        <w:t xml:space="preserve">L’accordo con San Marino si presenta dunque come un laboratorio giuridico di europeizzazione fiscale: attraverso la ricezione dinamica dei principi di non discriminazione e proporzionalità, e la previsione di meccanismi di verifica congiunta dell’equivalenza normativa, esso traduce la logica dell’integrazione economica in una costituzionalizzazione diffusa del diritto tributario europeo. In tale contesto, la libertà di circolazione dei capitali assume una funzione meta-sistematica, fungendo da veicolo di trasmissione dei valori fondanti dell’Unione </w:t>
      </w:r>
      <w:r w:rsidR="00F04347" w:rsidRPr="007A0794">
        <w:rPr>
          <w:rFonts w:ascii="Times New Roman" w:hAnsi="Times New Roman" w:cs="Times New Roman"/>
        </w:rPr>
        <w:t>(</w:t>
      </w:r>
      <w:r w:rsidRPr="007A0794">
        <w:rPr>
          <w:rFonts w:ascii="Times New Roman" w:hAnsi="Times New Roman" w:cs="Times New Roman"/>
        </w:rPr>
        <w:t>uguaglianza sostanziale, neutralità fiscale, coerenza del prelievo</w:t>
      </w:r>
      <w:r w:rsidR="00F04347" w:rsidRPr="007A0794">
        <w:rPr>
          <w:rFonts w:ascii="Times New Roman" w:hAnsi="Times New Roman" w:cs="Times New Roman"/>
        </w:rPr>
        <w:t>)</w:t>
      </w:r>
      <w:r w:rsidRPr="007A0794">
        <w:rPr>
          <w:rFonts w:ascii="Times New Roman" w:hAnsi="Times New Roman" w:cs="Times New Roman"/>
        </w:rPr>
        <w:t xml:space="preserve"> verso un’area esterna di integrazione a geometria variabile.</w:t>
      </w:r>
    </w:p>
    <w:p w14:paraId="59C5DD56" w14:textId="77777777" w:rsidR="001F5853" w:rsidRPr="007A0794" w:rsidRDefault="001F5853" w:rsidP="001F5853">
      <w:pPr>
        <w:jc w:val="both"/>
        <w:rPr>
          <w:rFonts w:ascii="Times New Roman" w:hAnsi="Times New Roman" w:cs="Times New Roman"/>
        </w:rPr>
      </w:pPr>
      <w:r w:rsidRPr="007A0794">
        <w:rPr>
          <w:rFonts w:ascii="Times New Roman" w:hAnsi="Times New Roman" w:cs="Times New Roman"/>
        </w:rPr>
        <w:t>Ne risulta un modello di governance sovranazionale nel quale l’</w:t>
      </w:r>
      <w:r w:rsidRPr="007A0794">
        <w:rPr>
          <w:rFonts w:ascii="Times New Roman" w:hAnsi="Times New Roman" w:cs="Times New Roman"/>
          <w:i/>
          <w:iCs/>
        </w:rPr>
        <w:t>acquis</w:t>
      </w:r>
      <w:r w:rsidRPr="007A0794">
        <w:rPr>
          <w:rFonts w:ascii="Times New Roman" w:hAnsi="Times New Roman" w:cs="Times New Roman"/>
        </w:rPr>
        <w:t xml:space="preserve"> comunitario non è più soltanto patrimonio normativo interno, ma standard regolatorio condiviso, destinato a incidere in profondità sui rapporti fiscali transfrontalieri e a ridefinire, in chiave europea, il concetto stesso di sovranità tributaria.</w:t>
      </w:r>
    </w:p>
    <w:p w14:paraId="0090FC54" w14:textId="77777777" w:rsidR="001F5853" w:rsidRPr="007A0794" w:rsidRDefault="001F5853" w:rsidP="00EC7FAB">
      <w:pPr>
        <w:jc w:val="both"/>
        <w:rPr>
          <w:rFonts w:ascii="Times New Roman" w:hAnsi="Times New Roman" w:cs="Times New Roman"/>
        </w:rPr>
      </w:pPr>
    </w:p>
    <w:sectPr w:rsidR="001F5853" w:rsidRPr="007A07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8A"/>
    <w:rsid w:val="00022A9D"/>
    <w:rsid w:val="000B5A9E"/>
    <w:rsid w:val="00137845"/>
    <w:rsid w:val="0016634E"/>
    <w:rsid w:val="001F5853"/>
    <w:rsid w:val="00251EF7"/>
    <w:rsid w:val="002C4AFB"/>
    <w:rsid w:val="002E194D"/>
    <w:rsid w:val="002E43B2"/>
    <w:rsid w:val="00333958"/>
    <w:rsid w:val="003620DF"/>
    <w:rsid w:val="0038518A"/>
    <w:rsid w:val="003C6BC1"/>
    <w:rsid w:val="003F1E31"/>
    <w:rsid w:val="0051552C"/>
    <w:rsid w:val="005B0767"/>
    <w:rsid w:val="005E59E2"/>
    <w:rsid w:val="00666D81"/>
    <w:rsid w:val="00677B9E"/>
    <w:rsid w:val="007A0794"/>
    <w:rsid w:val="008C0F14"/>
    <w:rsid w:val="008E3D71"/>
    <w:rsid w:val="00A81D74"/>
    <w:rsid w:val="00AA392F"/>
    <w:rsid w:val="00B4518E"/>
    <w:rsid w:val="00C03748"/>
    <w:rsid w:val="00C73FB0"/>
    <w:rsid w:val="00E33796"/>
    <w:rsid w:val="00E90936"/>
    <w:rsid w:val="00E9582A"/>
    <w:rsid w:val="00EC77A9"/>
    <w:rsid w:val="00EC7FAB"/>
    <w:rsid w:val="00F04347"/>
    <w:rsid w:val="00FA228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F836"/>
  <w15:chartTrackingRefBased/>
  <w15:docId w15:val="{2BE4CD1E-10F5-4599-B125-0887D190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5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5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51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51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51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51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51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51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51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51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51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51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51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51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51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51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51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51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5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51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51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51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51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518A"/>
    <w:rPr>
      <w:i/>
      <w:iCs/>
      <w:color w:val="404040" w:themeColor="text1" w:themeTint="BF"/>
    </w:rPr>
  </w:style>
  <w:style w:type="paragraph" w:styleId="Paragrafoelenco">
    <w:name w:val="List Paragraph"/>
    <w:basedOn w:val="Normale"/>
    <w:uiPriority w:val="34"/>
    <w:qFormat/>
    <w:rsid w:val="0038518A"/>
    <w:pPr>
      <w:ind w:left="720"/>
      <w:contextualSpacing/>
    </w:pPr>
  </w:style>
  <w:style w:type="character" w:styleId="Enfasiintensa">
    <w:name w:val="Intense Emphasis"/>
    <w:basedOn w:val="Carpredefinitoparagrafo"/>
    <w:uiPriority w:val="21"/>
    <w:qFormat/>
    <w:rsid w:val="0038518A"/>
    <w:rPr>
      <w:i/>
      <w:iCs/>
      <w:color w:val="0F4761" w:themeColor="accent1" w:themeShade="BF"/>
    </w:rPr>
  </w:style>
  <w:style w:type="paragraph" w:styleId="Citazioneintensa">
    <w:name w:val="Intense Quote"/>
    <w:basedOn w:val="Normale"/>
    <w:next w:val="Normale"/>
    <w:link w:val="CitazioneintensaCarattere"/>
    <w:uiPriority w:val="30"/>
    <w:qFormat/>
    <w:rsid w:val="00385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518A"/>
    <w:rPr>
      <w:i/>
      <w:iCs/>
      <w:color w:val="0F4761" w:themeColor="accent1" w:themeShade="BF"/>
    </w:rPr>
  </w:style>
  <w:style w:type="character" w:styleId="Riferimentointenso">
    <w:name w:val="Intense Reference"/>
    <w:basedOn w:val="Carpredefinitoparagrafo"/>
    <w:uiPriority w:val="32"/>
    <w:qFormat/>
    <w:rsid w:val="003851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2610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Castro</dc:creator>
  <cp:keywords/>
  <dc:description/>
  <cp:lastModifiedBy>Greggi Marco</cp:lastModifiedBy>
  <cp:revision>28</cp:revision>
  <dcterms:created xsi:type="dcterms:W3CDTF">2025-10-15T14:23:00Z</dcterms:created>
  <dcterms:modified xsi:type="dcterms:W3CDTF">2025-11-08T12:00:00Z</dcterms:modified>
</cp:coreProperties>
</file>