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BC41" w14:textId="77777777" w:rsidR="00902A1C" w:rsidRPr="00E9016E" w:rsidRDefault="00902A1C" w:rsidP="00902A1C">
      <w:pPr>
        <w:jc w:val="center"/>
        <w:rPr>
          <w:rFonts w:ascii="Times New Roman" w:hAnsi="Times New Roman" w:cs="Times New Roman"/>
          <w:b/>
          <w:bCs/>
          <w:sz w:val="28"/>
          <w:szCs w:val="28"/>
          <w:lang w:val="en-US"/>
        </w:rPr>
      </w:pPr>
      <w:r w:rsidRPr="00E9016E">
        <w:rPr>
          <w:rFonts w:ascii="Times New Roman" w:hAnsi="Times New Roman" w:cs="Times New Roman"/>
          <w:b/>
          <w:bCs/>
          <w:sz w:val="28"/>
          <w:szCs w:val="28"/>
          <w:lang w:val="en-US"/>
        </w:rPr>
        <w:t>Andorra and the European Union: association without absorption</w:t>
      </w:r>
    </w:p>
    <w:p w14:paraId="636F0250" w14:textId="77777777" w:rsidR="00E9016E" w:rsidRPr="00E9016E" w:rsidRDefault="00E9016E" w:rsidP="00902A1C">
      <w:pPr>
        <w:jc w:val="center"/>
        <w:rPr>
          <w:rFonts w:ascii="Times New Roman" w:hAnsi="Times New Roman" w:cs="Times New Roman"/>
          <w:b/>
          <w:bCs/>
          <w:sz w:val="22"/>
          <w:szCs w:val="22"/>
          <w:lang w:val="en-US"/>
        </w:rPr>
      </w:pPr>
    </w:p>
    <w:p w14:paraId="29F1A4B1" w14:textId="36B994BF" w:rsidR="00E9016E" w:rsidRPr="00E9016E" w:rsidRDefault="00E9016E" w:rsidP="00E9016E">
      <w:pPr>
        <w:rPr>
          <w:rFonts w:ascii="Times New Roman" w:hAnsi="Times New Roman" w:cs="Times New Roman"/>
          <w:b/>
          <w:bCs/>
          <w:sz w:val="22"/>
          <w:szCs w:val="22"/>
          <w:lang w:val="en-US"/>
        </w:rPr>
      </w:pPr>
      <w:r>
        <w:rPr>
          <w:rFonts w:ascii="Times New Roman" w:hAnsi="Times New Roman" w:cs="Times New Roman"/>
          <w:b/>
          <w:bCs/>
          <w:sz w:val="22"/>
          <w:szCs w:val="22"/>
          <w:lang w:val="en-US"/>
        </w:rPr>
        <w:t>b</w:t>
      </w:r>
      <w:r w:rsidRPr="00E9016E">
        <w:rPr>
          <w:rFonts w:ascii="Times New Roman" w:hAnsi="Times New Roman" w:cs="Times New Roman"/>
          <w:b/>
          <w:bCs/>
          <w:sz w:val="22"/>
          <w:szCs w:val="22"/>
          <w:lang w:val="en-US"/>
        </w:rPr>
        <w:t>y Carlota Pastora</w:t>
      </w:r>
    </w:p>
    <w:p w14:paraId="7F62B249" w14:textId="77777777" w:rsidR="00E9016E" w:rsidRPr="00E9016E" w:rsidRDefault="00E9016E" w:rsidP="00902A1C">
      <w:pPr>
        <w:jc w:val="center"/>
        <w:rPr>
          <w:rFonts w:ascii="Times New Roman" w:hAnsi="Times New Roman" w:cs="Times New Roman"/>
          <w:sz w:val="22"/>
          <w:szCs w:val="22"/>
          <w:lang w:val="en-US"/>
        </w:rPr>
      </w:pPr>
    </w:p>
    <w:p w14:paraId="45771534"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When we speak about Andorra’s relationship with the European Union, we often hear that the Association Agreement is a “new” step. </w:t>
      </w:r>
      <w:proofErr w:type="gramStart"/>
      <w:r w:rsidRPr="00E9016E">
        <w:rPr>
          <w:rFonts w:ascii="Times New Roman" w:hAnsi="Times New Roman" w:cs="Times New Roman"/>
          <w:sz w:val="22"/>
          <w:szCs w:val="22"/>
          <w:lang w:val="en-US"/>
        </w:rPr>
        <w:t>In reality, it</w:t>
      </w:r>
      <w:proofErr w:type="gramEnd"/>
      <w:r w:rsidRPr="00E9016E">
        <w:rPr>
          <w:rFonts w:ascii="Times New Roman" w:hAnsi="Times New Roman" w:cs="Times New Roman"/>
          <w:sz w:val="22"/>
          <w:szCs w:val="22"/>
          <w:lang w:val="en-US"/>
        </w:rPr>
        <w:t xml:space="preserve"> is the latest chapter in a conversation that has been going on for more than thirty years.</w:t>
      </w:r>
    </w:p>
    <w:p w14:paraId="244B4E3A" w14:textId="509E3E7F" w:rsidR="00902A1C" w:rsidRPr="00E9016E" w:rsidRDefault="00902A1C" w:rsidP="00902A1C">
      <w:pPr>
        <w:rPr>
          <w:rFonts w:ascii="Times New Roman" w:hAnsi="Times New Roman" w:cs="Times New Roman"/>
          <w:sz w:val="22"/>
          <w:szCs w:val="22"/>
          <w:lang w:val="en-US"/>
        </w:rPr>
      </w:pPr>
      <w:r w:rsidRPr="00E9016E">
        <w:rPr>
          <w:rFonts w:ascii="Times New Roman" w:hAnsi="Times New Roman" w:cs="Times New Roman"/>
          <w:sz w:val="22"/>
          <w:szCs w:val="22"/>
          <w:lang w:val="en-US"/>
        </w:rPr>
        <w:t>It is a story of progressive Europeanisation, not of sudden entry.</w:t>
      </w:r>
      <w:r w:rsidRPr="00E9016E">
        <w:rPr>
          <w:rFonts w:ascii="Times New Roman" w:hAnsi="Times New Roman" w:cs="Times New Roman"/>
          <w:sz w:val="22"/>
          <w:szCs w:val="22"/>
          <w:lang w:val="en-US"/>
        </w:rPr>
        <w:br/>
        <w:t xml:space="preserve">And, crucially, it is a story of </w:t>
      </w:r>
      <w:r w:rsidRPr="00E9016E">
        <w:rPr>
          <w:rFonts w:ascii="Times New Roman" w:hAnsi="Times New Roman" w:cs="Times New Roman"/>
          <w:i/>
          <w:iCs/>
          <w:sz w:val="22"/>
          <w:szCs w:val="22"/>
          <w:lang w:val="en-US"/>
        </w:rPr>
        <w:t>association without absorption</w:t>
      </w:r>
      <w:r w:rsidRPr="00E9016E">
        <w:rPr>
          <w:rFonts w:ascii="Times New Roman" w:hAnsi="Times New Roman" w:cs="Times New Roman"/>
          <w:sz w:val="22"/>
          <w:szCs w:val="22"/>
          <w:lang w:val="en-US"/>
        </w:rPr>
        <w:t>.</w:t>
      </w:r>
    </w:p>
    <w:p w14:paraId="7804BD64" w14:textId="45B68A00" w:rsidR="00902A1C" w:rsidRPr="00E9016E" w:rsidRDefault="00902A1C" w:rsidP="00902A1C">
      <w:pPr>
        <w:jc w:val="both"/>
        <w:rPr>
          <w:rFonts w:ascii="Times New Roman" w:hAnsi="Times New Roman" w:cs="Times New Roman"/>
          <w:b/>
          <w:bCs/>
          <w:sz w:val="22"/>
          <w:szCs w:val="22"/>
          <w:lang w:val="en-US"/>
        </w:rPr>
      </w:pPr>
      <w:r w:rsidRPr="00E9016E">
        <w:rPr>
          <w:rFonts w:ascii="Times New Roman" w:hAnsi="Times New Roman" w:cs="Times New Roman"/>
          <w:b/>
          <w:bCs/>
          <w:sz w:val="22"/>
          <w:szCs w:val="22"/>
          <w:lang w:val="en-US"/>
        </w:rPr>
        <w:t xml:space="preserve">1. A thirty-year trajectory of progressive </w:t>
      </w:r>
      <w:r w:rsidR="00EA6FC0" w:rsidRPr="00E9016E">
        <w:rPr>
          <w:rFonts w:ascii="Times New Roman" w:hAnsi="Times New Roman" w:cs="Times New Roman"/>
          <w:b/>
          <w:bCs/>
          <w:sz w:val="22"/>
          <w:szCs w:val="22"/>
          <w:lang w:val="en-US"/>
        </w:rPr>
        <w:t xml:space="preserve">approximation </w:t>
      </w:r>
    </w:p>
    <w:p w14:paraId="68E2999D" w14:textId="61D070E4"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The point of departure is 1990, with the </w:t>
      </w:r>
      <w:r w:rsidRPr="00E9016E">
        <w:rPr>
          <w:rFonts w:ascii="Times New Roman" w:hAnsi="Times New Roman" w:cs="Times New Roman"/>
          <w:b/>
          <w:bCs/>
          <w:sz w:val="22"/>
          <w:szCs w:val="22"/>
          <w:lang w:val="en-US"/>
        </w:rPr>
        <w:t>Customs Union Agreement</w:t>
      </w:r>
      <w:r w:rsidRPr="00E9016E">
        <w:rPr>
          <w:rFonts w:ascii="Times New Roman" w:hAnsi="Times New Roman" w:cs="Times New Roman"/>
          <w:sz w:val="22"/>
          <w:szCs w:val="22"/>
          <w:lang w:val="en-US"/>
        </w:rPr>
        <w:t xml:space="preserve"> between the then European Economic Community and the Principality of Andorra. For industrial products – those covered by Chapters 25 to 97 of the </w:t>
      </w:r>
      <w:proofErr w:type="spellStart"/>
      <w:r w:rsidRPr="00E9016E">
        <w:rPr>
          <w:rFonts w:ascii="Times New Roman" w:hAnsi="Times New Roman" w:cs="Times New Roman"/>
          <w:sz w:val="22"/>
          <w:szCs w:val="22"/>
          <w:lang w:val="en-US"/>
        </w:rPr>
        <w:t>Harmonised</w:t>
      </w:r>
      <w:proofErr w:type="spellEnd"/>
      <w:r w:rsidRPr="00E9016E">
        <w:rPr>
          <w:rFonts w:ascii="Times New Roman" w:hAnsi="Times New Roman" w:cs="Times New Roman"/>
          <w:sz w:val="22"/>
          <w:szCs w:val="22"/>
          <w:lang w:val="en-US"/>
        </w:rPr>
        <w:t xml:space="preserve"> System – Andorra is treated as if it were part of the EU customs territory, applying the same common external tariff. Agricultural products (Chapters 1 to 24) follow a different </w:t>
      </w:r>
      <w:proofErr w:type="gramStart"/>
      <w:r w:rsidRPr="00E9016E">
        <w:rPr>
          <w:rFonts w:ascii="Times New Roman" w:hAnsi="Times New Roman" w:cs="Times New Roman"/>
          <w:sz w:val="22"/>
          <w:szCs w:val="22"/>
          <w:lang w:val="en-US"/>
        </w:rPr>
        <w:t>regime</w:t>
      </w:r>
      <w:proofErr w:type="gramEnd"/>
      <w:r w:rsidRPr="00E9016E">
        <w:rPr>
          <w:rFonts w:ascii="Times New Roman" w:hAnsi="Times New Roman" w:cs="Times New Roman"/>
          <w:sz w:val="22"/>
          <w:szCs w:val="22"/>
          <w:lang w:val="en-US"/>
        </w:rPr>
        <w:t xml:space="preserve"> but many Andorran exports enjoy duty-free access to the EU market. </w:t>
      </w:r>
    </w:p>
    <w:p w14:paraId="582C18A4"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This was the first formal step: it anchored Andorra in the European trade framework, without turning it into a Member State.</w:t>
      </w:r>
    </w:p>
    <w:p w14:paraId="2EBA280B"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In </w:t>
      </w:r>
      <w:r w:rsidRPr="00E9016E">
        <w:rPr>
          <w:rFonts w:ascii="Times New Roman" w:hAnsi="Times New Roman" w:cs="Times New Roman"/>
          <w:b/>
          <w:bCs/>
          <w:sz w:val="22"/>
          <w:szCs w:val="22"/>
          <w:lang w:val="en-US"/>
        </w:rPr>
        <w:t>2004</w:t>
      </w:r>
      <w:r w:rsidRPr="00E9016E">
        <w:rPr>
          <w:rFonts w:ascii="Times New Roman" w:hAnsi="Times New Roman" w:cs="Times New Roman"/>
          <w:sz w:val="22"/>
          <w:szCs w:val="22"/>
          <w:lang w:val="en-US"/>
        </w:rPr>
        <w:t xml:space="preserve">, a </w:t>
      </w:r>
      <w:r w:rsidRPr="00E9016E">
        <w:rPr>
          <w:rFonts w:ascii="Times New Roman" w:hAnsi="Times New Roman" w:cs="Times New Roman"/>
          <w:b/>
          <w:bCs/>
          <w:sz w:val="22"/>
          <w:szCs w:val="22"/>
          <w:lang w:val="en-US"/>
        </w:rPr>
        <w:t>Cooperation Agreement</w:t>
      </w:r>
      <w:r w:rsidRPr="00E9016E">
        <w:rPr>
          <w:rFonts w:ascii="Times New Roman" w:hAnsi="Times New Roman" w:cs="Times New Roman"/>
          <w:sz w:val="22"/>
          <w:szCs w:val="22"/>
          <w:lang w:val="en-US"/>
        </w:rPr>
        <w:t xml:space="preserve"> broadened the relationship to areas such as education, environment and transport, while a parallel </w:t>
      </w:r>
      <w:r w:rsidRPr="00E9016E">
        <w:rPr>
          <w:rFonts w:ascii="Times New Roman" w:hAnsi="Times New Roman" w:cs="Times New Roman"/>
          <w:b/>
          <w:bCs/>
          <w:sz w:val="22"/>
          <w:szCs w:val="22"/>
          <w:lang w:val="en-US"/>
        </w:rPr>
        <w:t>Savings Taxation Agreement</w:t>
      </w:r>
      <w:r w:rsidRPr="00E9016E">
        <w:rPr>
          <w:rFonts w:ascii="Times New Roman" w:hAnsi="Times New Roman" w:cs="Times New Roman"/>
          <w:sz w:val="22"/>
          <w:szCs w:val="22"/>
          <w:lang w:val="en-US"/>
        </w:rPr>
        <w:t xml:space="preserve"> imported the logic of the EU Savings Directive into Andorran practice. This was the beginning of the end of classical “banking secrecy” and the start of a more rules-based approach to fiscal transparency.</w:t>
      </w:r>
    </w:p>
    <w:p w14:paraId="369EE704" w14:textId="1487C41B"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The next milestone was the </w:t>
      </w:r>
      <w:r w:rsidRPr="00E9016E">
        <w:rPr>
          <w:rFonts w:ascii="Times New Roman" w:hAnsi="Times New Roman" w:cs="Times New Roman"/>
          <w:b/>
          <w:bCs/>
          <w:sz w:val="22"/>
          <w:szCs w:val="22"/>
          <w:lang w:val="en-US"/>
        </w:rPr>
        <w:t>Monetary Agreement</w:t>
      </w:r>
      <w:r w:rsidRPr="00E9016E">
        <w:rPr>
          <w:rFonts w:ascii="Times New Roman" w:hAnsi="Times New Roman" w:cs="Times New Roman"/>
          <w:sz w:val="22"/>
          <w:szCs w:val="22"/>
          <w:lang w:val="en-US"/>
        </w:rPr>
        <w:t xml:space="preserve"> signed in </w:t>
      </w:r>
      <w:r w:rsidRPr="00E9016E">
        <w:rPr>
          <w:rFonts w:ascii="Times New Roman" w:hAnsi="Times New Roman" w:cs="Times New Roman"/>
          <w:b/>
          <w:bCs/>
          <w:sz w:val="22"/>
          <w:szCs w:val="22"/>
          <w:lang w:val="en-US"/>
        </w:rPr>
        <w:t>2011</w:t>
      </w:r>
      <w:r w:rsidRPr="00E9016E">
        <w:rPr>
          <w:rFonts w:ascii="Times New Roman" w:hAnsi="Times New Roman" w:cs="Times New Roman"/>
          <w:sz w:val="22"/>
          <w:szCs w:val="22"/>
          <w:lang w:val="en-US"/>
        </w:rPr>
        <w:t xml:space="preserve">. Under this agreement, the euro became Andorra’s official </w:t>
      </w:r>
      <w:proofErr w:type="gramStart"/>
      <w:r w:rsidRPr="00E9016E">
        <w:rPr>
          <w:rFonts w:ascii="Times New Roman" w:hAnsi="Times New Roman" w:cs="Times New Roman"/>
          <w:sz w:val="22"/>
          <w:szCs w:val="22"/>
          <w:lang w:val="en-US"/>
        </w:rPr>
        <w:t>currency</w:t>
      </w:r>
      <w:proofErr w:type="gramEnd"/>
      <w:r w:rsidRPr="00E9016E">
        <w:rPr>
          <w:rFonts w:ascii="Times New Roman" w:hAnsi="Times New Roman" w:cs="Times New Roman"/>
          <w:sz w:val="22"/>
          <w:szCs w:val="22"/>
          <w:lang w:val="en-US"/>
        </w:rPr>
        <w:t xml:space="preserve"> and the country obtained the right to issue its own euro coins, in exchange for a substantial commitment to transpose and apply EU financial and anti-money-laundering legislation. </w:t>
      </w:r>
    </w:p>
    <w:p w14:paraId="09116710"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From being a unilateral user of the euro, Andorra became a regulated participant in the euro architecture.</w:t>
      </w:r>
    </w:p>
    <w:p w14:paraId="7BAB85C9" w14:textId="377AFB2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A further qualitative leap came with the adoption of </w:t>
      </w:r>
      <w:r w:rsidRPr="00E9016E">
        <w:rPr>
          <w:rFonts w:ascii="Times New Roman" w:hAnsi="Times New Roman" w:cs="Times New Roman"/>
          <w:b/>
          <w:bCs/>
          <w:sz w:val="22"/>
          <w:szCs w:val="22"/>
          <w:lang w:val="en-US"/>
        </w:rPr>
        <w:t>Law 19/2016 on the automatic exchange of information in tax matters</w:t>
      </w:r>
      <w:r w:rsidRPr="00E9016E">
        <w:rPr>
          <w:rFonts w:ascii="Times New Roman" w:hAnsi="Times New Roman" w:cs="Times New Roman"/>
          <w:sz w:val="22"/>
          <w:szCs w:val="22"/>
          <w:lang w:val="en-US"/>
        </w:rPr>
        <w:t xml:space="preserve">, later amended by Law 29/2017. These laws implement the OECD </w:t>
      </w:r>
      <w:r w:rsidRPr="00E9016E">
        <w:rPr>
          <w:rFonts w:ascii="Times New Roman" w:hAnsi="Times New Roman" w:cs="Times New Roman"/>
          <w:b/>
          <w:bCs/>
          <w:sz w:val="22"/>
          <w:szCs w:val="22"/>
          <w:lang w:val="en-US"/>
        </w:rPr>
        <w:t>Common Reporting Standard (CRS)</w:t>
      </w:r>
      <w:r w:rsidRPr="00E9016E">
        <w:rPr>
          <w:rFonts w:ascii="Times New Roman" w:hAnsi="Times New Roman" w:cs="Times New Roman"/>
          <w:sz w:val="22"/>
          <w:szCs w:val="22"/>
          <w:lang w:val="en-US"/>
        </w:rPr>
        <w:t xml:space="preserve"> and the EU agreement on automatic exchange of financial account information, placing Andorra inside the global standard for tax transparency. </w:t>
      </w:r>
    </w:p>
    <w:p w14:paraId="7E3859F7" w14:textId="0401DB9E"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Most recently, in 2024 and 2025 the EU and Andorra have updated this framework again, through an amending protocol that adapts the automatic exchange regime to the newest CRS standards, including digital assets and other emerging financial products. </w:t>
      </w:r>
    </w:p>
    <w:p w14:paraId="52E052F0" w14:textId="5652E4B5"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Against that background, the </w:t>
      </w:r>
      <w:r w:rsidRPr="00E9016E">
        <w:rPr>
          <w:rFonts w:ascii="Times New Roman" w:hAnsi="Times New Roman" w:cs="Times New Roman"/>
          <w:b/>
          <w:bCs/>
          <w:sz w:val="22"/>
          <w:szCs w:val="22"/>
          <w:lang w:val="en-US"/>
        </w:rPr>
        <w:t>EU–Andorra Association Agreement</w:t>
      </w:r>
      <w:r w:rsidRPr="00E9016E">
        <w:rPr>
          <w:rFonts w:ascii="Times New Roman" w:hAnsi="Times New Roman" w:cs="Times New Roman"/>
          <w:sz w:val="22"/>
          <w:szCs w:val="22"/>
          <w:lang w:val="en-US"/>
        </w:rPr>
        <w:t xml:space="preserve"> is not the beginning of convergence but its institutional expression. It codifies Andorra’s participation in the internal market </w:t>
      </w:r>
      <w:r w:rsidRPr="00E9016E">
        <w:rPr>
          <w:rFonts w:ascii="Times New Roman" w:hAnsi="Times New Roman" w:cs="Times New Roman"/>
          <w:sz w:val="22"/>
          <w:szCs w:val="22"/>
          <w:lang w:val="en-US"/>
        </w:rPr>
        <w:lastRenderedPageBreak/>
        <w:t xml:space="preserve">– in goods, services, capital and, under specific conditions, persons – and does so through detailed annexes, transitional periods and tailor-made adaptations of the EU acquis. </w:t>
      </w:r>
    </w:p>
    <w:p w14:paraId="18F59C26" w14:textId="012FA20B"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Taken together, customs, cooperation, monetary and association agreements all follow the same constitutional logic: </w:t>
      </w:r>
      <w:r w:rsidRPr="00E9016E">
        <w:rPr>
          <w:rFonts w:ascii="Times New Roman" w:hAnsi="Times New Roman" w:cs="Times New Roman"/>
          <w:b/>
          <w:bCs/>
          <w:sz w:val="22"/>
          <w:szCs w:val="22"/>
          <w:lang w:val="en-US"/>
        </w:rPr>
        <w:t>participation through adaptation, not full integration</w:t>
      </w:r>
      <w:r w:rsidRPr="00E9016E">
        <w:rPr>
          <w:rFonts w:ascii="Times New Roman" w:hAnsi="Times New Roman" w:cs="Times New Roman"/>
          <w:sz w:val="22"/>
          <w:szCs w:val="22"/>
          <w:lang w:val="en-US"/>
        </w:rPr>
        <w:t>.</w:t>
      </w:r>
    </w:p>
    <w:p w14:paraId="217409F1" w14:textId="77777777" w:rsidR="00902A1C" w:rsidRPr="00E9016E" w:rsidRDefault="00902A1C" w:rsidP="00902A1C">
      <w:pPr>
        <w:jc w:val="both"/>
        <w:rPr>
          <w:rFonts w:ascii="Times New Roman" w:hAnsi="Times New Roman" w:cs="Times New Roman"/>
          <w:b/>
          <w:bCs/>
          <w:sz w:val="22"/>
          <w:szCs w:val="22"/>
          <w:lang w:val="en-US"/>
        </w:rPr>
      </w:pPr>
      <w:r w:rsidRPr="00E9016E">
        <w:rPr>
          <w:rFonts w:ascii="Times New Roman" w:hAnsi="Times New Roman" w:cs="Times New Roman"/>
          <w:b/>
          <w:bCs/>
          <w:sz w:val="22"/>
          <w:szCs w:val="22"/>
          <w:lang w:val="en-US"/>
        </w:rPr>
        <w:t>2. The Andorran financial system today: small State, systemic sector</w:t>
      </w:r>
    </w:p>
    <w:p w14:paraId="7BAE2C80"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To understand what is at stake in the Association Agreement, we must first understand what Andorra already is.</w:t>
      </w:r>
    </w:p>
    <w:p w14:paraId="63EE356A" w14:textId="07B7A0F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The financial system is small in absolute terms – we are talking about a country of around 8</w:t>
      </w:r>
      <w:r w:rsidR="002914B0" w:rsidRPr="00E9016E">
        <w:rPr>
          <w:rFonts w:ascii="Times New Roman" w:hAnsi="Times New Roman" w:cs="Times New Roman"/>
          <w:sz w:val="22"/>
          <w:szCs w:val="22"/>
          <w:lang w:val="en-US"/>
        </w:rPr>
        <w:t>8</w:t>
      </w:r>
      <w:r w:rsidRPr="00E9016E">
        <w:rPr>
          <w:rFonts w:ascii="Times New Roman" w:hAnsi="Times New Roman" w:cs="Times New Roman"/>
          <w:sz w:val="22"/>
          <w:szCs w:val="22"/>
          <w:lang w:val="en-US"/>
        </w:rPr>
        <w:t xml:space="preserve">,000 inhabitants – but it is structurally central. Various studies estimate that the financial sector represents roughly </w:t>
      </w:r>
      <w:r w:rsidRPr="00E9016E">
        <w:rPr>
          <w:rFonts w:ascii="Times New Roman" w:hAnsi="Times New Roman" w:cs="Times New Roman"/>
          <w:b/>
          <w:bCs/>
          <w:sz w:val="22"/>
          <w:szCs w:val="22"/>
          <w:lang w:val="en-US"/>
        </w:rPr>
        <w:t>15–16% of Andorran GDP</w:t>
      </w:r>
      <w:r w:rsidRPr="00E9016E">
        <w:rPr>
          <w:rFonts w:ascii="Times New Roman" w:hAnsi="Times New Roman" w:cs="Times New Roman"/>
          <w:sz w:val="22"/>
          <w:szCs w:val="22"/>
          <w:lang w:val="en-US"/>
        </w:rPr>
        <w:t xml:space="preserve">, confirming its role as one of the main pillars of the economy. </w:t>
      </w:r>
    </w:p>
    <w:p w14:paraId="44841AB8" w14:textId="7B53AA2B"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In terms of balance sheet size, the picture is even more striking: at the end of 2022, the </w:t>
      </w:r>
      <w:r w:rsidRPr="00E9016E">
        <w:rPr>
          <w:rFonts w:ascii="Times New Roman" w:hAnsi="Times New Roman" w:cs="Times New Roman"/>
          <w:b/>
          <w:bCs/>
          <w:sz w:val="22"/>
          <w:szCs w:val="22"/>
          <w:lang w:val="en-US"/>
        </w:rPr>
        <w:t>consolidated assets of the Andorran banking sector</w:t>
      </w:r>
      <w:r w:rsidRPr="00E9016E">
        <w:rPr>
          <w:rFonts w:ascii="Times New Roman" w:hAnsi="Times New Roman" w:cs="Times New Roman"/>
          <w:sz w:val="22"/>
          <w:szCs w:val="22"/>
          <w:lang w:val="en-US"/>
        </w:rPr>
        <w:t xml:space="preserve"> amounted to about </w:t>
      </w:r>
      <w:r w:rsidRPr="00E9016E">
        <w:rPr>
          <w:rFonts w:ascii="Times New Roman" w:hAnsi="Times New Roman" w:cs="Times New Roman"/>
          <w:b/>
          <w:bCs/>
          <w:sz w:val="22"/>
          <w:szCs w:val="22"/>
          <w:lang w:val="en-US"/>
        </w:rPr>
        <w:t>€17.5 billion</w:t>
      </w:r>
      <w:r w:rsidRPr="00E9016E">
        <w:rPr>
          <w:rFonts w:ascii="Times New Roman" w:hAnsi="Times New Roman" w:cs="Times New Roman"/>
          <w:sz w:val="22"/>
          <w:szCs w:val="22"/>
          <w:lang w:val="en-US"/>
        </w:rPr>
        <w:t xml:space="preserve">, that is roughly </w:t>
      </w:r>
      <w:r w:rsidRPr="00E9016E">
        <w:rPr>
          <w:rFonts w:ascii="Times New Roman" w:hAnsi="Times New Roman" w:cs="Times New Roman"/>
          <w:b/>
          <w:bCs/>
          <w:sz w:val="22"/>
          <w:szCs w:val="22"/>
          <w:lang w:val="en-US"/>
        </w:rPr>
        <w:t>5.5 times Andorra’s GDP</w:t>
      </w:r>
      <w:r w:rsidRPr="00E9016E">
        <w:rPr>
          <w:rFonts w:ascii="Times New Roman" w:hAnsi="Times New Roman" w:cs="Times New Roman"/>
          <w:sz w:val="22"/>
          <w:szCs w:val="22"/>
          <w:lang w:val="en-US"/>
        </w:rPr>
        <w:t>. This places Andorra firmly in the group of jurisdictions where finance is macro-relevant and must therefore be macro-prudentially supervised.</w:t>
      </w:r>
    </w:p>
    <w:p w14:paraId="1B01DE50"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The system is </w:t>
      </w:r>
      <w:proofErr w:type="spellStart"/>
      <w:r w:rsidRPr="00E9016E">
        <w:rPr>
          <w:rFonts w:ascii="Times New Roman" w:hAnsi="Times New Roman" w:cs="Times New Roman"/>
          <w:sz w:val="22"/>
          <w:szCs w:val="22"/>
          <w:lang w:val="en-US"/>
        </w:rPr>
        <w:t>organised</w:t>
      </w:r>
      <w:proofErr w:type="spellEnd"/>
      <w:r w:rsidRPr="00E9016E">
        <w:rPr>
          <w:rFonts w:ascii="Times New Roman" w:hAnsi="Times New Roman" w:cs="Times New Roman"/>
          <w:sz w:val="22"/>
          <w:szCs w:val="22"/>
          <w:lang w:val="en-US"/>
        </w:rPr>
        <w:t xml:space="preserve"> around a principle of </w:t>
      </w:r>
      <w:r w:rsidRPr="00E9016E">
        <w:rPr>
          <w:rFonts w:ascii="Times New Roman" w:hAnsi="Times New Roman" w:cs="Times New Roman"/>
          <w:b/>
          <w:bCs/>
          <w:sz w:val="22"/>
          <w:szCs w:val="22"/>
          <w:lang w:val="en-US"/>
        </w:rPr>
        <w:t>“reserve of activity”</w:t>
      </w:r>
      <w:r w:rsidRPr="00E9016E">
        <w:rPr>
          <w:rFonts w:ascii="Times New Roman" w:hAnsi="Times New Roman" w:cs="Times New Roman"/>
          <w:sz w:val="22"/>
          <w:szCs w:val="22"/>
          <w:lang w:val="en-US"/>
        </w:rPr>
        <w:t xml:space="preserve">: only </w:t>
      </w:r>
      <w:proofErr w:type="spellStart"/>
      <w:r w:rsidRPr="00E9016E">
        <w:rPr>
          <w:rFonts w:ascii="Times New Roman" w:hAnsi="Times New Roman" w:cs="Times New Roman"/>
          <w:sz w:val="22"/>
          <w:szCs w:val="22"/>
          <w:lang w:val="en-US"/>
        </w:rPr>
        <w:t>authorised</w:t>
      </w:r>
      <w:proofErr w:type="spellEnd"/>
      <w:r w:rsidRPr="00E9016E">
        <w:rPr>
          <w:rFonts w:ascii="Times New Roman" w:hAnsi="Times New Roman" w:cs="Times New Roman"/>
          <w:sz w:val="22"/>
          <w:szCs w:val="22"/>
          <w:lang w:val="en-US"/>
        </w:rPr>
        <w:t xml:space="preserve"> banks can take deposits or grant credit. These entities, supervised by the </w:t>
      </w:r>
      <w:r w:rsidRPr="00E9016E">
        <w:rPr>
          <w:rFonts w:ascii="Times New Roman" w:hAnsi="Times New Roman" w:cs="Times New Roman"/>
          <w:b/>
          <w:bCs/>
          <w:sz w:val="22"/>
          <w:szCs w:val="22"/>
          <w:lang w:val="en-US"/>
        </w:rPr>
        <w:t>Andorran Financial Authority (AFA)</w:t>
      </w:r>
      <w:r w:rsidRPr="00E9016E">
        <w:rPr>
          <w:rFonts w:ascii="Times New Roman" w:hAnsi="Times New Roman" w:cs="Times New Roman"/>
          <w:sz w:val="22"/>
          <w:szCs w:val="22"/>
          <w:lang w:val="en-US"/>
        </w:rPr>
        <w:t xml:space="preserve">, also provide investment and ancillary services. The AFA acts as a </w:t>
      </w:r>
      <w:r w:rsidRPr="00E9016E">
        <w:rPr>
          <w:rFonts w:ascii="Times New Roman" w:hAnsi="Times New Roman" w:cs="Times New Roman"/>
          <w:b/>
          <w:bCs/>
          <w:sz w:val="22"/>
          <w:szCs w:val="22"/>
          <w:lang w:val="en-US"/>
        </w:rPr>
        <w:t>single regulator and supervisor</w:t>
      </w:r>
      <w:r w:rsidRPr="00E9016E">
        <w:rPr>
          <w:rFonts w:ascii="Times New Roman" w:hAnsi="Times New Roman" w:cs="Times New Roman"/>
          <w:sz w:val="22"/>
          <w:szCs w:val="22"/>
          <w:lang w:val="en-US"/>
        </w:rPr>
        <w:t>, responsible for prudential soundness, market integrity and consumer protection.</w:t>
      </w:r>
    </w:p>
    <w:p w14:paraId="31BA51E5"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Over the last decade Andorra has quietly re-engineered its legal framework:</w:t>
      </w:r>
    </w:p>
    <w:p w14:paraId="53E485D2" w14:textId="22DF2314" w:rsidR="00902A1C" w:rsidRPr="00E9016E" w:rsidRDefault="00902A1C" w:rsidP="00902A1C">
      <w:pPr>
        <w:numPr>
          <w:ilvl w:val="0"/>
          <w:numId w:val="2"/>
        </w:num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It has approximated its rules on capital adequacy</w:t>
      </w:r>
    </w:p>
    <w:p w14:paraId="00EEBC02" w14:textId="042F17B3" w:rsidR="00902A1C" w:rsidRPr="00E9016E" w:rsidRDefault="00902A1C" w:rsidP="00902A1C">
      <w:pPr>
        <w:numPr>
          <w:ilvl w:val="0"/>
          <w:numId w:val="2"/>
        </w:numPr>
        <w:jc w:val="both"/>
        <w:rPr>
          <w:rFonts w:ascii="Times New Roman" w:hAnsi="Times New Roman" w:cs="Times New Roman"/>
          <w:sz w:val="22"/>
          <w:szCs w:val="22"/>
          <w:lang w:val="en-US"/>
        </w:rPr>
      </w:pPr>
      <w:proofErr w:type="spellStart"/>
      <w:r w:rsidRPr="00E9016E">
        <w:rPr>
          <w:rFonts w:ascii="Times New Roman" w:hAnsi="Times New Roman" w:cs="Times New Roman"/>
          <w:sz w:val="22"/>
          <w:szCs w:val="22"/>
          <w:lang w:val="en-US"/>
        </w:rPr>
        <w:t>modernised</w:t>
      </w:r>
      <w:proofErr w:type="spellEnd"/>
      <w:r w:rsidRPr="00E9016E">
        <w:rPr>
          <w:rFonts w:ascii="Times New Roman" w:hAnsi="Times New Roman" w:cs="Times New Roman"/>
          <w:sz w:val="22"/>
          <w:szCs w:val="22"/>
          <w:lang w:val="en-US"/>
        </w:rPr>
        <w:t xml:space="preserve"> its recovery and resolution regime </w:t>
      </w:r>
    </w:p>
    <w:p w14:paraId="61AF4FB9" w14:textId="77777777" w:rsidR="00902A1C" w:rsidRPr="00E9016E" w:rsidRDefault="00902A1C" w:rsidP="00902A1C">
      <w:pPr>
        <w:numPr>
          <w:ilvl w:val="0"/>
          <w:numId w:val="2"/>
        </w:num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aligned its investment services regime with MiFID standards,</w:t>
      </w:r>
    </w:p>
    <w:p w14:paraId="1D92527D" w14:textId="77777777" w:rsidR="00902A1C" w:rsidRPr="00E9016E" w:rsidRDefault="00902A1C" w:rsidP="00902A1C">
      <w:pPr>
        <w:numPr>
          <w:ilvl w:val="0"/>
          <w:numId w:val="2"/>
        </w:num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strengthened anti-money-laundering supervision, and</w:t>
      </w:r>
    </w:p>
    <w:p w14:paraId="11734208" w14:textId="77777777" w:rsidR="00902A1C" w:rsidRPr="00E9016E" w:rsidRDefault="00902A1C" w:rsidP="00902A1C">
      <w:pPr>
        <w:numPr>
          <w:ilvl w:val="0"/>
          <w:numId w:val="2"/>
        </w:num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embedded the automatic exchange of tax information in domestic law.</w:t>
      </w:r>
    </w:p>
    <w:p w14:paraId="0DB8DE5D"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At the same time, the country has created a Deposit Guarantee Fund, reformed its resolution toolkit and adopted legislation on digital economy, fintech, crypto-assets and cybersecurity.</w:t>
      </w:r>
    </w:p>
    <w:p w14:paraId="083744C5" w14:textId="53B42FED"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The macroeconomic context reinforces this evolution. According to the IMF’s most recent Article IV consultation, Andorra grew above potential in 2024 (around 2.1%), driven largely by services and banking, with a current account surplus of more than 15% of GDP and historically low non-performing loan ratios. </w:t>
      </w:r>
    </w:p>
    <w:p w14:paraId="39CFB80A" w14:textId="7BB66218"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All this means that Andorra is no longer simply a discreet private banking </w:t>
      </w:r>
      <w:proofErr w:type="spellStart"/>
      <w:r w:rsidRPr="00E9016E">
        <w:rPr>
          <w:rFonts w:ascii="Times New Roman" w:hAnsi="Times New Roman" w:cs="Times New Roman"/>
          <w:sz w:val="22"/>
          <w:szCs w:val="22"/>
          <w:lang w:val="en-US"/>
        </w:rPr>
        <w:t>centre</w:t>
      </w:r>
      <w:proofErr w:type="spellEnd"/>
      <w:r w:rsidRPr="00E9016E">
        <w:rPr>
          <w:rFonts w:ascii="Times New Roman" w:hAnsi="Times New Roman" w:cs="Times New Roman"/>
          <w:sz w:val="22"/>
          <w:szCs w:val="22"/>
          <w:lang w:val="en-US"/>
        </w:rPr>
        <w:t>. It is a highly regulated, export-oriented financial hub embedded in European and international standards – and therefore directly affected by how the Association Agreement structures access to the EU internal market.</w:t>
      </w:r>
    </w:p>
    <w:p w14:paraId="70D435BD" w14:textId="77777777" w:rsidR="00902A1C" w:rsidRPr="00E9016E" w:rsidRDefault="00902A1C" w:rsidP="00902A1C">
      <w:pPr>
        <w:jc w:val="both"/>
        <w:rPr>
          <w:rFonts w:ascii="Times New Roman" w:hAnsi="Times New Roman" w:cs="Times New Roman"/>
          <w:b/>
          <w:bCs/>
          <w:sz w:val="22"/>
          <w:szCs w:val="22"/>
          <w:lang w:val="en-US"/>
        </w:rPr>
      </w:pPr>
      <w:r w:rsidRPr="00E9016E">
        <w:rPr>
          <w:rFonts w:ascii="Times New Roman" w:hAnsi="Times New Roman" w:cs="Times New Roman"/>
          <w:b/>
          <w:bCs/>
          <w:sz w:val="22"/>
          <w:szCs w:val="22"/>
          <w:lang w:val="en-US"/>
        </w:rPr>
        <w:t>3. What the Association Agreement adds for finance and the professions</w:t>
      </w:r>
    </w:p>
    <w:p w14:paraId="181E9943"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lastRenderedPageBreak/>
        <w:t>If the earlier agreements were a bridge, the Association Agreement is the map that shows where that bridge leads – and under what conditions.</w:t>
      </w:r>
    </w:p>
    <w:p w14:paraId="68EA4DB8"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For the financial and professional sectors, three dimensions are particularly relevant:</w:t>
      </w:r>
    </w:p>
    <w:p w14:paraId="7FB47663" w14:textId="77777777" w:rsidR="00902A1C" w:rsidRPr="00E9016E" w:rsidRDefault="00902A1C" w:rsidP="00902A1C">
      <w:pPr>
        <w:numPr>
          <w:ilvl w:val="0"/>
          <w:numId w:val="5"/>
        </w:numPr>
        <w:jc w:val="both"/>
        <w:rPr>
          <w:rFonts w:ascii="Times New Roman" w:hAnsi="Times New Roman" w:cs="Times New Roman"/>
          <w:sz w:val="22"/>
          <w:szCs w:val="22"/>
        </w:rPr>
      </w:pPr>
      <w:r w:rsidRPr="00E9016E">
        <w:rPr>
          <w:rFonts w:ascii="Times New Roman" w:hAnsi="Times New Roman" w:cs="Times New Roman"/>
          <w:b/>
          <w:bCs/>
          <w:sz w:val="22"/>
          <w:szCs w:val="22"/>
        </w:rPr>
        <w:t>Legal alignment and staged access</w:t>
      </w:r>
    </w:p>
    <w:p w14:paraId="492EBF68" w14:textId="6F59952A"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The Agreement extends the application of EU financial and supervisory law to </w:t>
      </w:r>
      <w:r w:rsidR="001B4D06" w:rsidRPr="00E9016E">
        <w:rPr>
          <w:rFonts w:ascii="Times New Roman" w:hAnsi="Times New Roman" w:cs="Times New Roman"/>
          <w:sz w:val="22"/>
          <w:szCs w:val="22"/>
          <w:lang w:val="en-US"/>
        </w:rPr>
        <w:t>Andorra but</w:t>
      </w:r>
      <w:r w:rsidRPr="00E9016E">
        <w:rPr>
          <w:rFonts w:ascii="Times New Roman" w:hAnsi="Times New Roman" w:cs="Times New Roman"/>
          <w:sz w:val="22"/>
          <w:szCs w:val="22"/>
          <w:lang w:val="en-US"/>
        </w:rPr>
        <w:t xml:space="preserve"> does so through a phased and differentiated model. For certain segments, Andorra may choose to seek – or not to seek – full access to the internal market, in line with the concept of “staggered access” endorsed in the Council’s negotiating documents. </w:t>
      </w:r>
    </w:p>
    <w:p w14:paraId="2171D3F9" w14:textId="720A884A" w:rsidR="00902A1C" w:rsidRPr="00E9016E" w:rsidRDefault="00747449"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rPr>
        <w:t>This is not a mere copy-and-paste exercise. It is a carefully tailored process of selective incorporation, including adaptations, transitional periods, and safeguard clauses that take into account Andorra’s size, institutional capacities, and constitutional identity.</w:t>
      </w:r>
    </w:p>
    <w:p w14:paraId="26DDAD1C" w14:textId="77777777" w:rsidR="00902A1C" w:rsidRPr="00E9016E" w:rsidRDefault="00902A1C" w:rsidP="00902A1C">
      <w:pPr>
        <w:numPr>
          <w:ilvl w:val="0"/>
          <w:numId w:val="5"/>
        </w:numPr>
        <w:jc w:val="both"/>
        <w:rPr>
          <w:rFonts w:ascii="Times New Roman" w:hAnsi="Times New Roman" w:cs="Times New Roman"/>
          <w:sz w:val="22"/>
          <w:szCs w:val="22"/>
        </w:rPr>
      </w:pPr>
      <w:r w:rsidRPr="00E9016E">
        <w:rPr>
          <w:rFonts w:ascii="Times New Roman" w:hAnsi="Times New Roman" w:cs="Times New Roman"/>
          <w:b/>
          <w:bCs/>
          <w:sz w:val="22"/>
          <w:szCs w:val="22"/>
        </w:rPr>
        <w:t>Market access and regulatory predictability</w:t>
      </w:r>
    </w:p>
    <w:p w14:paraId="2146C0BF"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For banks, investment firms, insurance providers and professional advisers, the Agreement’s value lies in legal certainty. Once the Andorran framework is deemed equivalent and fully implemented, service providers will operate under comparable standards to those in the EU, facilitating:</w:t>
      </w:r>
    </w:p>
    <w:p w14:paraId="325D345B" w14:textId="77777777" w:rsidR="005539FB" w:rsidRPr="00E9016E" w:rsidRDefault="00902A1C" w:rsidP="005539FB">
      <w:pPr>
        <w:pStyle w:val="Paragrafoelenco"/>
        <w:numPr>
          <w:ilvl w:val="0"/>
          <w:numId w:val="4"/>
        </w:num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cross-border provision of services,</w:t>
      </w:r>
    </w:p>
    <w:p w14:paraId="088D3839" w14:textId="77777777" w:rsidR="00036ABC" w:rsidRPr="00E9016E" w:rsidRDefault="00902A1C" w:rsidP="00036ABC">
      <w:pPr>
        <w:pStyle w:val="Paragrafoelenco"/>
        <w:numPr>
          <w:ilvl w:val="0"/>
          <w:numId w:val="4"/>
        </w:num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establishment of branches and subsidiaries, and</w:t>
      </w:r>
    </w:p>
    <w:p w14:paraId="08AB6A86" w14:textId="254CA61C" w:rsidR="00902A1C" w:rsidRPr="00E9016E" w:rsidRDefault="00902A1C" w:rsidP="00036ABC">
      <w:pPr>
        <w:pStyle w:val="Paragrafoelenco"/>
        <w:numPr>
          <w:ilvl w:val="0"/>
          <w:numId w:val="4"/>
        </w:num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mutual recognition of </w:t>
      </w:r>
      <w:proofErr w:type="spellStart"/>
      <w:r w:rsidRPr="00E9016E">
        <w:rPr>
          <w:rFonts w:ascii="Times New Roman" w:hAnsi="Times New Roman" w:cs="Times New Roman"/>
          <w:sz w:val="22"/>
          <w:szCs w:val="22"/>
          <w:lang w:val="en-US"/>
        </w:rPr>
        <w:t>authorisations</w:t>
      </w:r>
      <w:proofErr w:type="spellEnd"/>
      <w:r w:rsidRPr="00E9016E">
        <w:rPr>
          <w:rFonts w:ascii="Times New Roman" w:hAnsi="Times New Roman" w:cs="Times New Roman"/>
          <w:sz w:val="22"/>
          <w:szCs w:val="22"/>
          <w:lang w:val="en-US"/>
        </w:rPr>
        <w:t xml:space="preserve"> and professional qualifications, in clearly defined areas.</w:t>
      </w:r>
    </w:p>
    <w:p w14:paraId="33224C8E"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In a sector where cross-border clients are the rule rather than the exception, this combination of access plus predictability is itself a competitive advantage.</w:t>
      </w:r>
    </w:p>
    <w:p w14:paraId="45DFAE11" w14:textId="77777777" w:rsidR="00902A1C" w:rsidRPr="00E9016E" w:rsidRDefault="00902A1C" w:rsidP="00902A1C">
      <w:pPr>
        <w:numPr>
          <w:ilvl w:val="0"/>
          <w:numId w:val="5"/>
        </w:numPr>
        <w:jc w:val="both"/>
        <w:rPr>
          <w:rFonts w:ascii="Times New Roman" w:hAnsi="Times New Roman" w:cs="Times New Roman"/>
          <w:sz w:val="22"/>
          <w:szCs w:val="22"/>
        </w:rPr>
      </w:pPr>
      <w:r w:rsidRPr="00E9016E">
        <w:rPr>
          <w:rFonts w:ascii="Times New Roman" w:hAnsi="Times New Roman" w:cs="Times New Roman"/>
          <w:b/>
          <w:bCs/>
          <w:sz w:val="22"/>
          <w:szCs w:val="22"/>
        </w:rPr>
        <w:t>Perception, credibility and ratings</w:t>
      </w:r>
    </w:p>
    <w:p w14:paraId="31258AC8" w14:textId="099C2C9F"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For a jurisdiction with a large financial sector, reputational capital is financial capital. Rating agencies and international institutions explicitly link Andorra’s credit profile to the depth and credibility of its integration with the EU and with the IMF. Recent assessments underline that a robust Association Agreement – properly implemented – can support growth, diversification and external resilience. </w:t>
      </w:r>
    </w:p>
    <w:p w14:paraId="1843DD2A" w14:textId="0E463AEF"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In other words, the Agreement is not only about more rules; it is about converting convergence into trust, and trust into lower risk premia and better access to international markets.</w:t>
      </w:r>
    </w:p>
    <w:p w14:paraId="7E88590A" w14:textId="77777777" w:rsidR="00902A1C" w:rsidRPr="00E9016E" w:rsidRDefault="00902A1C" w:rsidP="00902A1C">
      <w:pPr>
        <w:jc w:val="both"/>
        <w:rPr>
          <w:rFonts w:ascii="Times New Roman" w:hAnsi="Times New Roman" w:cs="Times New Roman"/>
          <w:b/>
          <w:bCs/>
          <w:sz w:val="22"/>
          <w:szCs w:val="22"/>
          <w:lang w:val="en-US"/>
        </w:rPr>
      </w:pPr>
      <w:r w:rsidRPr="00E9016E">
        <w:rPr>
          <w:rFonts w:ascii="Times New Roman" w:hAnsi="Times New Roman" w:cs="Times New Roman"/>
          <w:b/>
          <w:bCs/>
          <w:sz w:val="22"/>
          <w:szCs w:val="22"/>
          <w:lang w:val="en-US"/>
        </w:rPr>
        <w:t>4. Free movement of persons and professions: opening without losing control</w:t>
      </w:r>
    </w:p>
    <w:p w14:paraId="4FCCCB18"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If finance has been the most technical chapter of the negotiations, </w:t>
      </w:r>
      <w:r w:rsidRPr="00E9016E">
        <w:rPr>
          <w:rFonts w:ascii="Times New Roman" w:hAnsi="Times New Roman" w:cs="Times New Roman"/>
          <w:b/>
          <w:bCs/>
          <w:sz w:val="22"/>
          <w:szCs w:val="22"/>
          <w:lang w:val="en-US"/>
        </w:rPr>
        <w:t>free movement of persons</w:t>
      </w:r>
      <w:r w:rsidRPr="00E9016E">
        <w:rPr>
          <w:rFonts w:ascii="Times New Roman" w:hAnsi="Times New Roman" w:cs="Times New Roman"/>
          <w:sz w:val="22"/>
          <w:szCs w:val="22"/>
          <w:lang w:val="en-US"/>
        </w:rPr>
        <w:t xml:space="preserve"> has been the most politically sensitive one. It goes to the heart of Andorra’s social model, land use and </w:t>
      </w:r>
      <w:proofErr w:type="spellStart"/>
      <w:r w:rsidRPr="00E9016E">
        <w:rPr>
          <w:rFonts w:ascii="Times New Roman" w:hAnsi="Times New Roman" w:cs="Times New Roman"/>
          <w:sz w:val="22"/>
          <w:szCs w:val="22"/>
          <w:lang w:val="en-US"/>
        </w:rPr>
        <w:t>labour</w:t>
      </w:r>
      <w:proofErr w:type="spellEnd"/>
      <w:r w:rsidRPr="00E9016E">
        <w:rPr>
          <w:rFonts w:ascii="Times New Roman" w:hAnsi="Times New Roman" w:cs="Times New Roman"/>
          <w:sz w:val="22"/>
          <w:szCs w:val="22"/>
          <w:lang w:val="en-US"/>
        </w:rPr>
        <w:t xml:space="preserve"> market.</w:t>
      </w:r>
    </w:p>
    <w:p w14:paraId="7E98384C"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The solution found is an </w:t>
      </w:r>
      <w:r w:rsidRPr="00E9016E">
        <w:rPr>
          <w:rFonts w:ascii="Times New Roman" w:hAnsi="Times New Roman" w:cs="Times New Roman"/>
          <w:b/>
          <w:bCs/>
          <w:sz w:val="22"/>
          <w:szCs w:val="22"/>
          <w:lang w:val="en-US"/>
        </w:rPr>
        <w:t>asymmetric model</w:t>
      </w:r>
      <w:r w:rsidRPr="00E9016E">
        <w:rPr>
          <w:rFonts w:ascii="Times New Roman" w:hAnsi="Times New Roman" w:cs="Times New Roman"/>
          <w:sz w:val="22"/>
          <w:szCs w:val="22"/>
          <w:lang w:val="en-US"/>
        </w:rPr>
        <w:t>:</w:t>
      </w:r>
    </w:p>
    <w:p w14:paraId="30B4C0FC" w14:textId="77777777" w:rsidR="00902A1C" w:rsidRPr="00E9016E" w:rsidRDefault="00902A1C" w:rsidP="00902A1C">
      <w:pPr>
        <w:numPr>
          <w:ilvl w:val="0"/>
          <w:numId w:val="1"/>
        </w:numPr>
        <w:jc w:val="both"/>
        <w:rPr>
          <w:rFonts w:ascii="Times New Roman" w:hAnsi="Times New Roman" w:cs="Times New Roman"/>
          <w:sz w:val="22"/>
          <w:szCs w:val="22"/>
          <w:lang w:val="en-US"/>
        </w:rPr>
      </w:pPr>
      <w:r w:rsidRPr="00E9016E">
        <w:rPr>
          <w:rFonts w:ascii="Times New Roman" w:hAnsi="Times New Roman" w:cs="Times New Roman"/>
          <w:b/>
          <w:bCs/>
          <w:sz w:val="22"/>
          <w:szCs w:val="22"/>
          <w:lang w:val="en-US"/>
        </w:rPr>
        <w:t>Andorran nationals</w:t>
      </w:r>
      <w:r w:rsidRPr="00E9016E">
        <w:rPr>
          <w:rFonts w:ascii="Times New Roman" w:hAnsi="Times New Roman" w:cs="Times New Roman"/>
          <w:sz w:val="22"/>
          <w:szCs w:val="22"/>
          <w:lang w:val="en-US"/>
        </w:rPr>
        <w:t xml:space="preserve"> will enjoy the right to live and work in the EU, under the general rules on free movement of workers and freedom of establishment.</w:t>
      </w:r>
    </w:p>
    <w:p w14:paraId="215C4350" w14:textId="77777777" w:rsidR="00902A1C" w:rsidRPr="00E9016E" w:rsidRDefault="00902A1C" w:rsidP="00902A1C">
      <w:pPr>
        <w:numPr>
          <w:ilvl w:val="0"/>
          <w:numId w:val="1"/>
        </w:numPr>
        <w:jc w:val="both"/>
        <w:rPr>
          <w:rFonts w:ascii="Times New Roman" w:hAnsi="Times New Roman" w:cs="Times New Roman"/>
          <w:sz w:val="22"/>
          <w:szCs w:val="22"/>
          <w:lang w:val="en-US"/>
        </w:rPr>
      </w:pPr>
      <w:r w:rsidRPr="00E9016E">
        <w:rPr>
          <w:rFonts w:ascii="Times New Roman" w:hAnsi="Times New Roman" w:cs="Times New Roman"/>
          <w:b/>
          <w:bCs/>
          <w:sz w:val="22"/>
          <w:szCs w:val="22"/>
          <w:lang w:val="en-US"/>
        </w:rPr>
        <w:lastRenderedPageBreak/>
        <w:t>Andorra</w:t>
      </w:r>
      <w:r w:rsidRPr="00E9016E">
        <w:rPr>
          <w:rFonts w:ascii="Times New Roman" w:hAnsi="Times New Roman" w:cs="Times New Roman"/>
          <w:sz w:val="22"/>
          <w:szCs w:val="22"/>
          <w:lang w:val="en-US"/>
        </w:rPr>
        <w:t xml:space="preserve">, for its part, will retain a </w:t>
      </w:r>
      <w:r w:rsidRPr="00E9016E">
        <w:rPr>
          <w:rFonts w:ascii="Times New Roman" w:hAnsi="Times New Roman" w:cs="Times New Roman"/>
          <w:b/>
          <w:bCs/>
          <w:sz w:val="22"/>
          <w:szCs w:val="22"/>
          <w:lang w:val="en-US"/>
        </w:rPr>
        <w:t>quota-based immigration system</w:t>
      </w:r>
      <w:r w:rsidRPr="00E9016E">
        <w:rPr>
          <w:rFonts w:ascii="Times New Roman" w:hAnsi="Times New Roman" w:cs="Times New Roman"/>
          <w:sz w:val="22"/>
          <w:szCs w:val="22"/>
          <w:lang w:val="en-US"/>
        </w:rPr>
        <w:t xml:space="preserve"> for foreign nationals, </w:t>
      </w:r>
      <w:proofErr w:type="gramStart"/>
      <w:r w:rsidRPr="00E9016E">
        <w:rPr>
          <w:rFonts w:ascii="Times New Roman" w:hAnsi="Times New Roman" w:cs="Times New Roman"/>
          <w:sz w:val="22"/>
          <w:szCs w:val="22"/>
          <w:lang w:val="en-US"/>
        </w:rPr>
        <w:t>similar to</w:t>
      </w:r>
      <w:proofErr w:type="gramEnd"/>
      <w:r w:rsidRPr="00E9016E">
        <w:rPr>
          <w:rFonts w:ascii="Times New Roman" w:hAnsi="Times New Roman" w:cs="Times New Roman"/>
          <w:sz w:val="22"/>
          <w:szCs w:val="22"/>
          <w:lang w:val="en-US"/>
        </w:rPr>
        <w:t xml:space="preserve"> its current one, allowing it to calibrate inflows </w:t>
      </w:r>
      <w:proofErr w:type="gramStart"/>
      <w:r w:rsidRPr="00E9016E">
        <w:rPr>
          <w:rFonts w:ascii="Times New Roman" w:hAnsi="Times New Roman" w:cs="Times New Roman"/>
          <w:sz w:val="22"/>
          <w:szCs w:val="22"/>
          <w:lang w:val="en-US"/>
        </w:rPr>
        <w:t>in light of</w:t>
      </w:r>
      <w:proofErr w:type="gramEnd"/>
      <w:r w:rsidRPr="00E9016E">
        <w:rPr>
          <w:rFonts w:ascii="Times New Roman" w:hAnsi="Times New Roman" w:cs="Times New Roman"/>
          <w:sz w:val="22"/>
          <w:szCs w:val="22"/>
          <w:lang w:val="en-US"/>
        </w:rPr>
        <w:t xml:space="preserve"> housing, infrastructure and social cohesion constraints.</w:t>
      </w:r>
    </w:p>
    <w:p w14:paraId="6B8F1DA4"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Within this framework, the Agreement foresees </w:t>
      </w:r>
      <w:r w:rsidRPr="00E9016E">
        <w:rPr>
          <w:rFonts w:ascii="Times New Roman" w:hAnsi="Times New Roman" w:cs="Times New Roman"/>
          <w:b/>
          <w:bCs/>
          <w:sz w:val="22"/>
          <w:szCs w:val="22"/>
          <w:lang w:val="en-US"/>
        </w:rPr>
        <w:t>differentiated background-check mechanisms</w:t>
      </w:r>
      <w:r w:rsidRPr="00E9016E">
        <w:rPr>
          <w:rFonts w:ascii="Times New Roman" w:hAnsi="Times New Roman" w:cs="Times New Roman"/>
          <w:sz w:val="22"/>
          <w:szCs w:val="22"/>
          <w:lang w:val="en-US"/>
        </w:rPr>
        <w:t>:</w:t>
      </w:r>
    </w:p>
    <w:p w14:paraId="6C7104A7" w14:textId="77777777" w:rsidR="00902A1C" w:rsidRPr="00E9016E" w:rsidRDefault="00902A1C" w:rsidP="00902A1C">
      <w:pPr>
        <w:numPr>
          <w:ilvl w:val="0"/>
          <w:numId w:val="3"/>
        </w:num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For </w:t>
      </w:r>
      <w:r w:rsidRPr="00E9016E">
        <w:rPr>
          <w:rFonts w:ascii="Times New Roman" w:hAnsi="Times New Roman" w:cs="Times New Roman"/>
          <w:b/>
          <w:bCs/>
          <w:sz w:val="22"/>
          <w:szCs w:val="22"/>
          <w:lang w:val="en-US"/>
        </w:rPr>
        <w:t>sensitive professions</w:t>
      </w:r>
      <w:r w:rsidRPr="00E9016E">
        <w:rPr>
          <w:rFonts w:ascii="Times New Roman" w:hAnsi="Times New Roman" w:cs="Times New Roman"/>
          <w:sz w:val="22"/>
          <w:szCs w:val="22"/>
          <w:lang w:val="en-US"/>
        </w:rPr>
        <w:t xml:space="preserve"> – such as health, education, financial services or other activities involving significant public interest – background checks will be systematic, with reinforced obligations of prior verification.</w:t>
      </w:r>
    </w:p>
    <w:p w14:paraId="46CC600C" w14:textId="77777777" w:rsidR="00902A1C" w:rsidRPr="00E9016E" w:rsidRDefault="00902A1C" w:rsidP="00902A1C">
      <w:pPr>
        <w:numPr>
          <w:ilvl w:val="0"/>
          <w:numId w:val="3"/>
        </w:num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For other activities, the model will rely more on </w:t>
      </w:r>
      <w:r w:rsidRPr="00E9016E">
        <w:rPr>
          <w:rFonts w:ascii="Times New Roman" w:hAnsi="Times New Roman" w:cs="Times New Roman"/>
          <w:b/>
          <w:bCs/>
          <w:sz w:val="22"/>
          <w:szCs w:val="22"/>
          <w:lang w:val="en-US"/>
        </w:rPr>
        <w:t>sworn declarations</w:t>
      </w:r>
      <w:r w:rsidRPr="00E9016E">
        <w:rPr>
          <w:rFonts w:ascii="Times New Roman" w:hAnsi="Times New Roman" w:cs="Times New Roman"/>
          <w:sz w:val="22"/>
          <w:szCs w:val="22"/>
          <w:lang w:val="en-US"/>
        </w:rPr>
        <w:t xml:space="preserve"> and </w:t>
      </w:r>
      <w:r w:rsidRPr="00E9016E">
        <w:rPr>
          <w:rFonts w:ascii="Times New Roman" w:hAnsi="Times New Roman" w:cs="Times New Roman"/>
          <w:b/>
          <w:bCs/>
          <w:sz w:val="22"/>
          <w:szCs w:val="22"/>
          <w:lang w:val="en-US"/>
        </w:rPr>
        <w:t>random controls</w:t>
      </w:r>
      <w:r w:rsidRPr="00E9016E">
        <w:rPr>
          <w:rFonts w:ascii="Times New Roman" w:hAnsi="Times New Roman" w:cs="Times New Roman"/>
          <w:sz w:val="22"/>
          <w:szCs w:val="22"/>
          <w:lang w:val="en-US"/>
        </w:rPr>
        <w:t>, backed by effective sanctions in cases of fraud.</w:t>
      </w:r>
    </w:p>
    <w:p w14:paraId="298D7D0F"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From a legal standpoint, these mechanisms are compatible with EU law so long as they respect three key principles: </w:t>
      </w:r>
      <w:r w:rsidRPr="00E9016E">
        <w:rPr>
          <w:rFonts w:ascii="Times New Roman" w:hAnsi="Times New Roman" w:cs="Times New Roman"/>
          <w:b/>
          <w:bCs/>
          <w:sz w:val="22"/>
          <w:szCs w:val="22"/>
          <w:lang w:val="en-US"/>
        </w:rPr>
        <w:t>proportionality</w:t>
      </w:r>
      <w:r w:rsidRPr="00E9016E">
        <w:rPr>
          <w:rFonts w:ascii="Times New Roman" w:hAnsi="Times New Roman" w:cs="Times New Roman"/>
          <w:sz w:val="22"/>
          <w:szCs w:val="22"/>
          <w:lang w:val="en-US"/>
        </w:rPr>
        <w:t xml:space="preserve">, </w:t>
      </w:r>
      <w:r w:rsidRPr="00E9016E">
        <w:rPr>
          <w:rFonts w:ascii="Times New Roman" w:hAnsi="Times New Roman" w:cs="Times New Roman"/>
          <w:b/>
          <w:bCs/>
          <w:sz w:val="22"/>
          <w:szCs w:val="22"/>
          <w:lang w:val="en-US"/>
        </w:rPr>
        <w:t>non-discrimination</w:t>
      </w:r>
      <w:r w:rsidRPr="00E9016E">
        <w:rPr>
          <w:rFonts w:ascii="Times New Roman" w:hAnsi="Times New Roman" w:cs="Times New Roman"/>
          <w:sz w:val="22"/>
          <w:szCs w:val="22"/>
          <w:lang w:val="en-US"/>
        </w:rPr>
        <w:t xml:space="preserve"> and </w:t>
      </w:r>
      <w:r w:rsidRPr="00E9016E">
        <w:rPr>
          <w:rFonts w:ascii="Times New Roman" w:hAnsi="Times New Roman" w:cs="Times New Roman"/>
          <w:b/>
          <w:bCs/>
          <w:sz w:val="22"/>
          <w:szCs w:val="22"/>
          <w:lang w:val="en-US"/>
        </w:rPr>
        <w:t>objective justification</w:t>
      </w:r>
      <w:r w:rsidRPr="00E9016E">
        <w:rPr>
          <w:rFonts w:ascii="Times New Roman" w:hAnsi="Times New Roman" w:cs="Times New Roman"/>
          <w:sz w:val="22"/>
          <w:szCs w:val="22"/>
          <w:lang w:val="en-US"/>
        </w:rPr>
        <w:t xml:space="preserve"> based on legitimate public-interest grounds (public policy, security, public health or the protection of vulnerable groups).</w:t>
      </w:r>
    </w:p>
    <w:p w14:paraId="340373FA" w14:textId="45EA8AFF"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Politically, it is inevitable that such a compromise produces mixed feelings. Some will see it as excessively </w:t>
      </w:r>
      <w:r w:rsidR="00061CB2" w:rsidRPr="00E9016E">
        <w:rPr>
          <w:rFonts w:ascii="Times New Roman" w:hAnsi="Times New Roman" w:cs="Times New Roman"/>
          <w:sz w:val="22"/>
          <w:szCs w:val="22"/>
          <w:lang w:val="en-US"/>
        </w:rPr>
        <w:t>restrictive,</w:t>
      </w:r>
      <w:r w:rsidRPr="00E9016E">
        <w:rPr>
          <w:rFonts w:ascii="Times New Roman" w:hAnsi="Times New Roman" w:cs="Times New Roman"/>
          <w:sz w:val="22"/>
          <w:szCs w:val="22"/>
          <w:lang w:val="en-US"/>
        </w:rPr>
        <w:t xml:space="preserve"> others, as too generous. But this is probably the nature of a well-balanced compromise: both sides feel they have given just enough.</w:t>
      </w:r>
    </w:p>
    <w:p w14:paraId="247379DC" w14:textId="01884DB2"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What matters, in the end, is that the Agreement does not erase Andorra’s borders. It redefines how they function within a European space of mobility and mutual trust.</w:t>
      </w:r>
    </w:p>
    <w:p w14:paraId="7D16C050" w14:textId="77777777" w:rsidR="00902A1C" w:rsidRPr="00E9016E" w:rsidRDefault="00902A1C" w:rsidP="00902A1C">
      <w:pPr>
        <w:jc w:val="both"/>
        <w:rPr>
          <w:rFonts w:ascii="Times New Roman" w:hAnsi="Times New Roman" w:cs="Times New Roman"/>
          <w:b/>
          <w:bCs/>
          <w:sz w:val="22"/>
          <w:szCs w:val="22"/>
          <w:lang w:val="en-US"/>
        </w:rPr>
      </w:pPr>
      <w:r w:rsidRPr="00E9016E">
        <w:rPr>
          <w:rFonts w:ascii="Times New Roman" w:hAnsi="Times New Roman" w:cs="Times New Roman"/>
          <w:b/>
          <w:bCs/>
          <w:sz w:val="22"/>
          <w:szCs w:val="22"/>
          <w:lang w:val="en-US"/>
        </w:rPr>
        <w:t>5. Conclusion: sovereignty by design, not by isolation</w:t>
      </w:r>
    </w:p>
    <w:p w14:paraId="6C4A0061" w14:textId="5C0DC51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Viewed as a whole – from the 1990 Customs Union to the Cooperation and Savings Agreements, from the Monetary Agreement to automatic exchange of information, and now the Association Agreement – Andorra’s European path shows a clear pattern: evolution through balance.</w:t>
      </w:r>
    </w:p>
    <w:p w14:paraId="6DFD840B"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The Association Agreement offers structure, predictability and access, while respecting Andorra’s constitutional limits and allowing for calibrated choices in sensitive sectors such as finance, migration and regulated professions.</w:t>
      </w:r>
    </w:p>
    <w:p w14:paraId="31BF8F1C"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It gives the financial system a European legal language, and the migration regime a European logic, without transforming Andorra into a Member State.</w:t>
      </w:r>
    </w:p>
    <w:p w14:paraId="1CE1FB6B"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The key question is therefore not whether Andorra loses sovereignty, but how it chooses to exercise it in an interdependent Europe.</w:t>
      </w:r>
    </w:p>
    <w:p w14:paraId="40E6B5AA" w14:textId="101BA7A5" w:rsidR="00F039AB" w:rsidRPr="00E9016E" w:rsidRDefault="00F039AB" w:rsidP="00F039AB">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 xml:space="preserve">If Andorra succeeds in </w:t>
      </w:r>
      <w:proofErr w:type="gramStart"/>
      <w:r w:rsidRPr="00E9016E">
        <w:rPr>
          <w:rFonts w:ascii="Times New Roman" w:hAnsi="Times New Roman" w:cs="Times New Roman"/>
          <w:sz w:val="22"/>
          <w:szCs w:val="22"/>
          <w:lang w:val="en-US"/>
        </w:rPr>
        <w:t>opening up</w:t>
      </w:r>
      <w:proofErr w:type="gramEnd"/>
      <w:r w:rsidRPr="00E9016E">
        <w:rPr>
          <w:rFonts w:ascii="Times New Roman" w:hAnsi="Times New Roman" w:cs="Times New Roman"/>
          <w:sz w:val="22"/>
          <w:szCs w:val="22"/>
          <w:lang w:val="en-US"/>
        </w:rPr>
        <w:t xml:space="preserve"> without losing itself — in using association </w:t>
      </w:r>
      <w:proofErr w:type="gramStart"/>
      <w:r w:rsidRPr="00E9016E">
        <w:rPr>
          <w:rFonts w:ascii="Times New Roman" w:hAnsi="Times New Roman" w:cs="Times New Roman"/>
          <w:sz w:val="22"/>
          <w:szCs w:val="22"/>
          <w:lang w:val="en-US"/>
        </w:rPr>
        <w:t>as a means to</w:t>
      </w:r>
      <w:proofErr w:type="gramEnd"/>
      <w:r w:rsidRPr="00E9016E">
        <w:rPr>
          <w:rFonts w:ascii="Times New Roman" w:hAnsi="Times New Roman" w:cs="Times New Roman"/>
          <w:sz w:val="22"/>
          <w:szCs w:val="22"/>
          <w:lang w:val="en-US"/>
        </w:rPr>
        <w:t xml:space="preserve"> project its identity rather than dilute it — then this small State will not only secure its place in Europe.</w:t>
      </w:r>
    </w:p>
    <w:p w14:paraId="2476EDF9" w14:textId="6DD402C3" w:rsidR="00902A1C" w:rsidRPr="00E9016E" w:rsidRDefault="00902A1C" w:rsidP="00902A1C">
      <w:pPr>
        <w:jc w:val="both"/>
        <w:rPr>
          <w:rFonts w:ascii="Times New Roman" w:hAnsi="Times New Roman" w:cs="Times New Roman"/>
          <w:sz w:val="22"/>
          <w:szCs w:val="22"/>
          <w:lang w:val="en-US"/>
        </w:rPr>
      </w:pPr>
    </w:p>
    <w:p w14:paraId="0194227B" w14:textId="77777777" w:rsidR="00902A1C" w:rsidRPr="00E9016E" w:rsidRDefault="00902A1C" w:rsidP="00902A1C">
      <w:pPr>
        <w:jc w:val="both"/>
        <w:rPr>
          <w:rFonts w:ascii="Times New Roman" w:hAnsi="Times New Roman" w:cs="Times New Roman"/>
          <w:sz w:val="22"/>
          <w:szCs w:val="22"/>
          <w:lang w:val="en-US"/>
        </w:rPr>
      </w:pPr>
      <w:r w:rsidRPr="00E9016E">
        <w:rPr>
          <w:rFonts w:ascii="Times New Roman" w:hAnsi="Times New Roman" w:cs="Times New Roman"/>
          <w:sz w:val="22"/>
          <w:szCs w:val="22"/>
          <w:lang w:val="en-US"/>
        </w:rPr>
        <w:t>It will also help Europe better understand the value of its smallest members: those that show that integration can be designed, not imposed; negotiated, not automatic; and always anchored in mutual respect.</w:t>
      </w:r>
    </w:p>
    <w:p w14:paraId="33C8CFEE" w14:textId="77777777" w:rsidR="005B5631" w:rsidRPr="00E9016E" w:rsidRDefault="005B5631">
      <w:pPr>
        <w:rPr>
          <w:rFonts w:ascii="Times New Roman" w:hAnsi="Times New Roman" w:cs="Times New Roman"/>
          <w:sz w:val="22"/>
          <w:szCs w:val="22"/>
          <w:lang w:val="en-US"/>
        </w:rPr>
      </w:pPr>
    </w:p>
    <w:sectPr w:rsidR="005B5631" w:rsidRPr="00E901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02AEC"/>
    <w:multiLevelType w:val="hybridMultilevel"/>
    <w:tmpl w:val="B77A5E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4E1363BD"/>
    <w:multiLevelType w:val="multilevel"/>
    <w:tmpl w:val="064C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50FE7"/>
    <w:multiLevelType w:val="multilevel"/>
    <w:tmpl w:val="83F4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147497"/>
    <w:multiLevelType w:val="multilevel"/>
    <w:tmpl w:val="30603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2A0937"/>
    <w:multiLevelType w:val="multilevel"/>
    <w:tmpl w:val="508E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685907">
    <w:abstractNumId w:val="4"/>
  </w:num>
  <w:num w:numId="2" w16cid:durableId="1730034577">
    <w:abstractNumId w:val="1"/>
  </w:num>
  <w:num w:numId="3" w16cid:durableId="18747176">
    <w:abstractNumId w:val="2"/>
  </w:num>
  <w:num w:numId="4" w16cid:durableId="700667320">
    <w:abstractNumId w:val="0"/>
  </w:num>
  <w:num w:numId="5" w16cid:durableId="997225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1C"/>
    <w:rsid w:val="00036ABC"/>
    <w:rsid w:val="00061CB2"/>
    <w:rsid w:val="001B4D06"/>
    <w:rsid w:val="002914B0"/>
    <w:rsid w:val="002F2A23"/>
    <w:rsid w:val="00386F37"/>
    <w:rsid w:val="00454CC5"/>
    <w:rsid w:val="00551D20"/>
    <w:rsid w:val="005539FB"/>
    <w:rsid w:val="00563FE8"/>
    <w:rsid w:val="005B5631"/>
    <w:rsid w:val="00627804"/>
    <w:rsid w:val="00742CFB"/>
    <w:rsid w:val="00747449"/>
    <w:rsid w:val="007E3F4B"/>
    <w:rsid w:val="007F577A"/>
    <w:rsid w:val="00902A1C"/>
    <w:rsid w:val="00931ABB"/>
    <w:rsid w:val="00955BE2"/>
    <w:rsid w:val="009E6360"/>
    <w:rsid w:val="00A24C29"/>
    <w:rsid w:val="00A92EF8"/>
    <w:rsid w:val="00AF67A2"/>
    <w:rsid w:val="00B97D24"/>
    <w:rsid w:val="00BB0963"/>
    <w:rsid w:val="00D9125F"/>
    <w:rsid w:val="00DA3462"/>
    <w:rsid w:val="00DF30CA"/>
    <w:rsid w:val="00E21273"/>
    <w:rsid w:val="00E32FCD"/>
    <w:rsid w:val="00E9016E"/>
    <w:rsid w:val="00EA6FC0"/>
    <w:rsid w:val="00F039AB"/>
    <w:rsid w:val="00FA2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94ECCA"/>
  <w15:chartTrackingRefBased/>
  <w15:docId w15:val="{B8FFAA6B-6388-4C84-8331-578E5F17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N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02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02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02A1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02A1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02A1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02A1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2A1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2A1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2A1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2A1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02A1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02A1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02A1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02A1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02A1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2A1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2A1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2A1C"/>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2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2A1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2A1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2A1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2A1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2A1C"/>
    <w:rPr>
      <w:i/>
      <w:iCs/>
      <w:color w:val="404040" w:themeColor="text1" w:themeTint="BF"/>
    </w:rPr>
  </w:style>
  <w:style w:type="paragraph" w:styleId="Paragrafoelenco">
    <w:name w:val="List Paragraph"/>
    <w:basedOn w:val="Normale"/>
    <w:uiPriority w:val="34"/>
    <w:qFormat/>
    <w:rsid w:val="00902A1C"/>
    <w:pPr>
      <w:ind w:left="720"/>
      <w:contextualSpacing/>
    </w:pPr>
  </w:style>
  <w:style w:type="character" w:styleId="Enfasiintensa">
    <w:name w:val="Intense Emphasis"/>
    <w:basedOn w:val="Carpredefinitoparagrafo"/>
    <w:uiPriority w:val="21"/>
    <w:qFormat/>
    <w:rsid w:val="00902A1C"/>
    <w:rPr>
      <w:i/>
      <w:iCs/>
      <w:color w:val="0F4761" w:themeColor="accent1" w:themeShade="BF"/>
    </w:rPr>
  </w:style>
  <w:style w:type="paragraph" w:styleId="Citazioneintensa">
    <w:name w:val="Intense Quote"/>
    <w:basedOn w:val="Normale"/>
    <w:next w:val="Normale"/>
    <w:link w:val="CitazioneintensaCarattere"/>
    <w:uiPriority w:val="30"/>
    <w:qFormat/>
    <w:rsid w:val="00902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02A1C"/>
    <w:rPr>
      <w:i/>
      <w:iCs/>
      <w:color w:val="0F4761" w:themeColor="accent1" w:themeShade="BF"/>
    </w:rPr>
  </w:style>
  <w:style w:type="character" w:styleId="Riferimentointenso">
    <w:name w:val="Intense Reference"/>
    <w:basedOn w:val="Carpredefinitoparagrafo"/>
    <w:uiPriority w:val="32"/>
    <w:qFormat/>
    <w:rsid w:val="00902A1C"/>
    <w:rPr>
      <w:b/>
      <w:bCs/>
      <w:smallCaps/>
      <w:color w:val="0F4761" w:themeColor="accent1" w:themeShade="BF"/>
      <w:spacing w:val="5"/>
    </w:rPr>
  </w:style>
  <w:style w:type="character" w:styleId="Collegamentoipertestuale">
    <w:name w:val="Hyperlink"/>
    <w:basedOn w:val="Carpredefinitoparagrafo"/>
    <w:uiPriority w:val="99"/>
    <w:unhideWhenUsed/>
    <w:rsid w:val="00902A1C"/>
    <w:rPr>
      <w:color w:val="467886" w:themeColor="hyperlink"/>
      <w:u w:val="single"/>
    </w:rPr>
  </w:style>
  <w:style w:type="character" w:styleId="Menzionenonrisolta">
    <w:name w:val="Unresolved Mention"/>
    <w:basedOn w:val="Carpredefinitoparagrafo"/>
    <w:uiPriority w:val="99"/>
    <w:semiHidden/>
    <w:unhideWhenUsed/>
    <w:rsid w:val="00902A1C"/>
    <w:rPr>
      <w:color w:val="605E5C"/>
      <w:shd w:val="clear" w:color="auto" w:fill="E1DFDD"/>
    </w:rPr>
  </w:style>
  <w:style w:type="character" w:customStyle="1" w:styleId="Textoennegrita">
    <w:name w:val="Texto en negrita"/>
    <w:basedOn w:val="Carpredefinitoparagrafo"/>
    <w:uiPriority w:val="22"/>
    <w:qFormat/>
    <w:rsid w:val="00F039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d3555a-dbff-4d3c-9bdc-44565ebe2c20">
      <Terms xmlns="http://schemas.microsoft.com/office/infopath/2007/PartnerControls"/>
    </lcf76f155ced4ddcb4097134ff3c332f>
    <TaxCatchAll xmlns="d5d707a7-572c-4001-ba21-c41e83776a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EB15DAA4389E64C83EAA0ECC2B10767" ma:contentTypeVersion="10" ma:contentTypeDescription="Crear nuevo documento." ma:contentTypeScope="" ma:versionID="40179bbbbd64c658d31180343d5d50f2">
  <xsd:schema xmlns:xsd="http://www.w3.org/2001/XMLSchema" xmlns:xs="http://www.w3.org/2001/XMLSchema" xmlns:p="http://schemas.microsoft.com/office/2006/metadata/properties" xmlns:ns2="c3d3555a-dbff-4d3c-9bdc-44565ebe2c20" xmlns:ns3="d5d707a7-572c-4001-ba21-c41e83776ab8" targetNamespace="http://schemas.microsoft.com/office/2006/metadata/properties" ma:root="true" ma:fieldsID="5c8fa23a1e59189328a2ebbd4a6e5a57" ns2:_="" ns3:_="">
    <xsd:import namespace="c3d3555a-dbff-4d3c-9bdc-44565ebe2c20"/>
    <xsd:import namespace="d5d707a7-572c-4001-ba21-c41e83776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3555a-dbff-4d3c-9bdc-44565ebe2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0f1a7fd-e277-4657-9e7a-cde439d5e4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707a7-572c-4001-ba21-c41e83776a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645e2b-8399-415b-92a8-ba4333940d6a}" ma:internalName="TaxCatchAll" ma:showField="CatchAllData" ma:web="d5d707a7-572c-4001-ba21-c41e83776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0985E-2635-4AD0-8FF7-05A1743B40F3}">
  <ds:schemaRefs>
    <ds:schemaRef ds:uri="http://schemas.microsoft.com/office/2006/metadata/properties"/>
    <ds:schemaRef ds:uri="http://schemas.microsoft.com/office/infopath/2007/PartnerControls"/>
    <ds:schemaRef ds:uri="c3d3555a-dbff-4d3c-9bdc-44565ebe2c20"/>
    <ds:schemaRef ds:uri="d5d707a7-572c-4001-ba21-c41e83776ab8"/>
  </ds:schemaRefs>
</ds:datastoreItem>
</file>

<file path=customXml/itemProps2.xml><?xml version="1.0" encoding="utf-8"?>
<ds:datastoreItem xmlns:ds="http://schemas.openxmlformats.org/officeDocument/2006/customXml" ds:itemID="{6DCDAF4D-0788-47D9-A0E9-39133BE0E4F2}">
  <ds:schemaRefs>
    <ds:schemaRef ds:uri="http://schemas.microsoft.com/sharepoint/v3/contenttype/forms"/>
  </ds:schemaRefs>
</ds:datastoreItem>
</file>

<file path=customXml/itemProps3.xml><?xml version="1.0" encoding="utf-8"?>
<ds:datastoreItem xmlns:ds="http://schemas.openxmlformats.org/officeDocument/2006/customXml" ds:itemID="{EE058E0A-C69E-4559-A9EA-B62A797B7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3555a-dbff-4d3c-9bdc-44565ebe2c20"/>
    <ds:schemaRef ds:uri="d5d707a7-572c-4001-ba21-c41e83776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1608</Words>
  <Characters>9172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Manager/>
  <Company>Carlota Pastora Advocats SLU</Company>
  <LinksUpToDate>false</LinksUpToDate>
  <CharactersWithSpaces>10759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Carlota Pastora</dc:creator>
  <cp:keywords/>
  <dc:description/>
  <cp:lastModifiedBy>Greggi Marco</cp:lastModifiedBy>
  <cp:revision>3</cp:revision>
  <dcterms:created xsi:type="dcterms:W3CDTF">2025-11-15T09:03:00Z</dcterms:created>
  <dcterms:modified xsi:type="dcterms:W3CDTF">2025-11-15T09:03:00Z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0x010100FEB15DAA4389E64C83EAA0ECC2B10767</vt:lpwstr>
  </property>
  <property fmtid="{D5CDD505-2E9C-101B-9397-08002B2CF9AE}" pid="3" name="MediaServiceImageTags">
    <vt:lpwstr/>
  </property>
</Properties>
</file>