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2B87" w14:textId="77777777" w:rsidR="0084451B" w:rsidRDefault="0084451B" w:rsidP="0084451B">
      <w:pPr>
        <w:pStyle w:val="Title"/>
        <w:rPr>
          <w:sz w:val="24"/>
          <w:szCs w:val="24"/>
        </w:rPr>
      </w:pPr>
      <w:r>
        <w:rPr>
          <w:sz w:val="24"/>
          <w:szCs w:val="24"/>
        </w:rPr>
        <w:t>NRE/Forest Service Briefing Paper</w:t>
      </w:r>
    </w:p>
    <w:p w14:paraId="38C4BE99" w14:textId="2DB7EEB0" w:rsidR="0084451B" w:rsidRDefault="0084451B" w:rsidP="0084451B">
      <w:pPr>
        <w:pStyle w:val="Title"/>
        <w:rPr>
          <w:sz w:val="24"/>
          <w:szCs w:val="24"/>
        </w:rPr>
      </w:pPr>
      <w:r>
        <w:rPr>
          <w:sz w:val="24"/>
          <w:szCs w:val="24"/>
        </w:rPr>
        <w:t xml:space="preserve">April </w:t>
      </w:r>
      <w:r w:rsidR="0042095F">
        <w:rPr>
          <w:sz w:val="24"/>
          <w:szCs w:val="24"/>
        </w:rPr>
        <w:t>7</w:t>
      </w:r>
      <w:r>
        <w:rPr>
          <w:sz w:val="24"/>
          <w:szCs w:val="24"/>
        </w:rPr>
        <w:t>, 2022</w:t>
      </w:r>
    </w:p>
    <w:p w14:paraId="6ED0C447" w14:textId="77777777" w:rsidR="0084451B" w:rsidRDefault="0084451B" w:rsidP="0084451B">
      <w:pPr>
        <w:jc w:val="center"/>
        <w:rPr>
          <w:rFonts w:ascii="Times New Roman" w:hAnsi="Times New Roman"/>
          <w:b/>
          <w:bCs/>
          <w:sz w:val="24"/>
          <w:szCs w:val="24"/>
          <w:u w:val="single"/>
        </w:rPr>
      </w:pPr>
      <w:r w:rsidRPr="3700111A">
        <w:rPr>
          <w:rFonts w:ascii="Times New Roman" w:hAnsi="Times New Roman"/>
          <w:b/>
          <w:bCs/>
          <w:sz w:val="24"/>
          <w:szCs w:val="24"/>
          <w:u w:val="single"/>
        </w:rPr>
        <w:t>______________________________________________________________________________</w:t>
      </w:r>
    </w:p>
    <w:p w14:paraId="5A06C9AF" w14:textId="05EF0BC1" w:rsidR="0084451B" w:rsidRDefault="0084451B" w:rsidP="0084451B">
      <w:pPr>
        <w:rPr>
          <w:rFonts w:ascii="Times New Roman" w:hAnsi="Times New Roman"/>
          <w:b/>
          <w:bCs/>
        </w:rPr>
      </w:pPr>
      <w:r w:rsidRPr="00EE5BCF">
        <w:rPr>
          <w:rFonts w:ascii="Times New Roman" w:hAnsi="Times New Roman"/>
          <w:b/>
          <w:bCs/>
          <w:sz w:val="24"/>
          <w:szCs w:val="24"/>
        </w:rPr>
        <w:t>Topic:</w:t>
      </w:r>
      <w:r w:rsidRPr="00EE5BCF">
        <w:rPr>
          <w:rFonts w:ascii="Times New Roman" w:hAnsi="Times New Roman"/>
          <w:b/>
          <w:bCs/>
          <w:sz w:val="24"/>
          <w:szCs w:val="24"/>
        </w:rPr>
        <w:tab/>
      </w:r>
      <w:r>
        <w:rPr>
          <w:rFonts w:ascii="Times New Roman" w:hAnsi="Times New Roman"/>
          <w:b/>
          <w:bCs/>
          <w:sz w:val="24"/>
          <w:szCs w:val="24"/>
        </w:rPr>
        <w:t>Executive Summary, Wildfire Crisis Strategy, Initial Landscape Investment Recommendations</w:t>
      </w:r>
    </w:p>
    <w:p w14:paraId="51741C02" w14:textId="77777777" w:rsidR="0084451B" w:rsidRPr="00A51763" w:rsidRDefault="0084451B" w:rsidP="0084451B">
      <w:pPr>
        <w:spacing w:after="0"/>
        <w:rPr>
          <w:rFonts w:ascii="Times New Roman" w:hAnsi="Times New Roman"/>
          <w:b/>
          <w:bCs/>
        </w:rPr>
      </w:pPr>
      <w:r w:rsidRPr="00A51763">
        <w:rPr>
          <w:rFonts w:ascii="Times New Roman" w:hAnsi="Times New Roman"/>
          <w:b/>
          <w:bCs/>
        </w:rPr>
        <w:t xml:space="preserve">From: </w:t>
      </w:r>
      <w:r w:rsidRPr="00A51763">
        <w:rPr>
          <w:rFonts w:ascii="Times New Roman" w:hAnsi="Times New Roman"/>
          <w:b/>
          <w:bCs/>
        </w:rPr>
        <w:tab/>
      </w:r>
      <w:r w:rsidRPr="00BF0770">
        <w:rPr>
          <w:rFonts w:ascii="Times New Roman" w:hAnsi="Times New Roman"/>
        </w:rPr>
        <w:t xml:space="preserve">Brian Ferebee, Chief Executive of Intergovernmental Relations, 720-646-1995, </w:t>
      </w:r>
      <w:hyperlink r:id="rId7" w:history="1">
        <w:r w:rsidRPr="00BF0770">
          <w:rPr>
            <w:rStyle w:val="Hyperlink"/>
            <w:rFonts w:ascii="Times New Roman" w:hAnsi="Times New Roman"/>
          </w:rPr>
          <w:t>brian.ferebee@usda.gov</w:t>
        </w:r>
      </w:hyperlink>
    </w:p>
    <w:p w14:paraId="6E6365F8" w14:textId="77777777" w:rsidR="0084451B" w:rsidRDefault="0084451B" w:rsidP="0084451B">
      <w:pPr>
        <w:pStyle w:val="NoSpacing"/>
        <w:pBdr>
          <w:bottom w:val="single" w:sz="12" w:space="1" w:color="auto"/>
        </w:pBdr>
        <w:rPr>
          <w:rFonts w:ascii="Times New Roman" w:hAnsi="Times New Roman" w:cs="Times New Roman"/>
          <w:b/>
          <w:bCs/>
          <w:sz w:val="24"/>
          <w:szCs w:val="24"/>
        </w:rPr>
      </w:pPr>
    </w:p>
    <w:p w14:paraId="7D3C592E" w14:textId="77777777" w:rsidR="006C59A2" w:rsidRPr="00827F9B" w:rsidRDefault="006C59A2" w:rsidP="00827F9B">
      <w:pPr>
        <w:pStyle w:val="NoSpacing"/>
        <w:spacing w:line="276" w:lineRule="auto"/>
        <w:rPr>
          <w:rFonts w:cstheme="minorHAnsi"/>
          <w:b/>
          <w:bCs/>
          <w:sz w:val="32"/>
          <w:szCs w:val="32"/>
        </w:rPr>
      </w:pPr>
    </w:p>
    <w:p w14:paraId="1F31227F" w14:textId="357F0CC3" w:rsidR="005B2A6F" w:rsidRPr="0084451B" w:rsidRDefault="00830EE0" w:rsidP="00827F9B">
      <w:pPr>
        <w:pStyle w:val="NoSpacing"/>
        <w:spacing w:line="276" w:lineRule="auto"/>
        <w:rPr>
          <w:rFonts w:cstheme="minorHAnsi"/>
          <w:b/>
          <w:bCs/>
          <w:sz w:val="28"/>
          <w:szCs w:val="28"/>
        </w:rPr>
      </w:pPr>
      <w:r w:rsidRPr="0084451B">
        <w:rPr>
          <w:rFonts w:cstheme="minorHAnsi"/>
          <w:b/>
          <w:bCs/>
          <w:sz w:val="28"/>
          <w:szCs w:val="28"/>
        </w:rPr>
        <w:t>Introduction</w:t>
      </w:r>
    </w:p>
    <w:p w14:paraId="3B0519E2" w14:textId="43851519" w:rsidR="005B2A6F" w:rsidRPr="00827F9B" w:rsidRDefault="005B2A6F" w:rsidP="00827F9B">
      <w:pPr>
        <w:spacing w:line="276" w:lineRule="auto"/>
        <w:rPr>
          <w:rStyle w:val="eop"/>
          <w:rFonts w:cstheme="minorHAnsi"/>
          <w:color w:val="000000"/>
          <w:shd w:val="clear" w:color="auto" w:fill="FFFFFF"/>
        </w:rPr>
      </w:pPr>
      <w:r w:rsidRPr="00827F9B">
        <w:rPr>
          <w:rStyle w:val="normaltextrun"/>
          <w:rFonts w:cstheme="minorHAnsi"/>
          <w:color w:val="000000"/>
          <w:shd w:val="clear" w:color="auto" w:fill="FFFFFF"/>
        </w:rPr>
        <w:t xml:space="preserve">In </w:t>
      </w:r>
      <w:r w:rsidRPr="00827F9B">
        <w:rPr>
          <w:rStyle w:val="contextualspellingandgrammarerror"/>
          <w:rFonts w:cstheme="minorHAnsi"/>
          <w:color w:val="000000"/>
          <w:shd w:val="clear" w:color="auto" w:fill="FFFFFF"/>
        </w:rPr>
        <w:t>November</w:t>
      </w:r>
      <w:r w:rsidRPr="00827F9B">
        <w:rPr>
          <w:rStyle w:val="normaltextrun"/>
          <w:rFonts w:cstheme="minorHAnsi"/>
          <w:color w:val="000000"/>
          <w:shd w:val="clear" w:color="auto" w:fill="FFFFFF"/>
        </w:rPr>
        <w:t xml:space="preserve"> 2021,</w:t>
      </w:r>
      <w:r w:rsidR="007D22AD" w:rsidRPr="00827F9B">
        <w:rPr>
          <w:rStyle w:val="normaltextrun"/>
          <w:rFonts w:cstheme="minorHAnsi"/>
          <w:color w:val="000000"/>
          <w:shd w:val="clear" w:color="auto" w:fill="FFFFFF"/>
        </w:rPr>
        <w:t xml:space="preserve"> the </w:t>
      </w:r>
      <w:r w:rsidR="00235EEF" w:rsidRPr="00827F9B">
        <w:rPr>
          <w:rStyle w:val="normaltextrun"/>
          <w:rFonts w:cstheme="minorHAnsi"/>
          <w:color w:val="000000"/>
          <w:shd w:val="clear" w:color="auto" w:fill="FFFFFF"/>
        </w:rPr>
        <w:t xml:space="preserve">U.S. Department of Agriculture </w:t>
      </w:r>
      <w:r w:rsidR="00695C87" w:rsidRPr="00827F9B">
        <w:rPr>
          <w:rStyle w:val="normaltextrun"/>
          <w:rFonts w:cstheme="minorHAnsi"/>
          <w:color w:val="000000"/>
          <w:shd w:val="clear" w:color="auto" w:fill="FFFFFF"/>
        </w:rPr>
        <w:t xml:space="preserve">Forest Service </w:t>
      </w:r>
      <w:r w:rsidRPr="00827F9B">
        <w:rPr>
          <w:rStyle w:val="normaltextrun"/>
          <w:rFonts w:cstheme="minorHAnsi"/>
          <w:color w:val="000000"/>
          <w:shd w:val="clear" w:color="auto" w:fill="FFFFFF"/>
        </w:rPr>
        <w:t xml:space="preserve">initiated a process to identify landscapes where investments of the Bipartisan Infrastructure Law (BIL) and other funding could reduce exposure of communities and infrastructure to the risk of catastrophic wildfire.  </w:t>
      </w:r>
    </w:p>
    <w:p w14:paraId="0A2662E7" w14:textId="4F13B060" w:rsidR="001B6FC3" w:rsidRDefault="005B2A6F" w:rsidP="00037447">
      <w:pPr>
        <w:spacing w:line="276" w:lineRule="auto"/>
        <w:rPr>
          <w:rFonts w:cstheme="minorHAnsi"/>
        </w:rPr>
      </w:pPr>
      <w:r w:rsidRPr="00827F9B">
        <w:rPr>
          <w:rFonts w:cstheme="minorHAnsi"/>
        </w:rPr>
        <w:t xml:space="preserve">A small number of </w:t>
      </w:r>
      <w:proofErr w:type="spellStart"/>
      <w:r w:rsidR="00A551D6">
        <w:rPr>
          <w:rFonts w:cstheme="minorHAnsi"/>
        </w:rPr>
        <w:t>f</w:t>
      </w:r>
      <w:r w:rsidR="00006935" w:rsidRPr="00827F9B">
        <w:rPr>
          <w:rFonts w:cstheme="minorHAnsi"/>
        </w:rPr>
        <w:t>iresheds</w:t>
      </w:r>
      <w:proofErr w:type="spellEnd"/>
      <w:r w:rsidRPr="00827F9B">
        <w:rPr>
          <w:rFonts w:cstheme="minorHAnsi"/>
        </w:rPr>
        <w:t xml:space="preserve"> currently present the largest risk to communities, based on historic fire behavior. </w:t>
      </w:r>
      <w:r w:rsidR="001B6FC3" w:rsidRPr="00827F9B">
        <w:rPr>
          <w:rFonts w:cstheme="minorHAnsi"/>
        </w:rPr>
        <w:t xml:space="preserve">These high-exposure </w:t>
      </w:r>
      <w:proofErr w:type="spellStart"/>
      <w:r w:rsidR="00A551D6">
        <w:rPr>
          <w:rFonts w:cstheme="minorHAnsi"/>
        </w:rPr>
        <w:t>f</w:t>
      </w:r>
      <w:r w:rsidR="001B6FC3" w:rsidRPr="00827F9B">
        <w:rPr>
          <w:rFonts w:cstheme="minorHAnsi"/>
        </w:rPr>
        <w:t>iresheds</w:t>
      </w:r>
      <w:proofErr w:type="spellEnd"/>
      <w:r w:rsidR="001B6FC3" w:rsidRPr="00827F9B">
        <w:rPr>
          <w:rFonts w:cstheme="minorHAnsi"/>
        </w:rPr>
        <w:t xml:space="preserve"> were identified as critical anchoring geographies around which Initial Landscape Investments will be built. </w:t>
      </w:r>
    </w:p>
    <w:p w14:paraId="1D413FFD" w14:textId="2F0C690A" w:rsidR="00D410ED" w:rsidRDefault="00D5557E" w:rsidP="00037447">
      <w:pPr>
        <w:spacing w:line="276" w:lineRule="auto"/>
        <w:rPr>
          <w:rFonts w:cstheme="minorHAnsi"/>
        </w:rPr>
      </w:pPr>
      <w:r w:rsidRPr="00D5557E">
        <w:rPr>
          <w:rFonts w:cstheme="minorHAnsi"/>
        </w:rPr>
        <w:t>The Forest Service initiated the selection process with a call to regional leadership to engage with other Federal agencies, Tribes, States, and other partners in identifying high-risk landscapes. As outlined in the Wildfire Crisis Strategy Implementation Plan, the goal of this initial selection process was to identify landscapes that (1) have projects that are at scale or can be built out to scale, (2) are outcome driven, (3) are collaboratively developed with communities and ready for implementation, (4) allow for investment in underserved communities, (5) could leverage current partner investments, and (6) could maximize use of existing authorities</w:t>
      </w:r>
      <w:r>
        <w:rPr>
          <w:rFonts w:cstheme="minorHAnsi"/>
        </w:rPr>
        <w:t>.</w:t>
      </w:r>
    </w:p>
    <w:p w14:paraId="0BE9D5FB" w14:textId="7B541524" w:rsidR="00D5557E" w:rsidRPr="00D5557E" w:rsidRDefault="00D5557E" w:rsidP="00037447">
      <w:pPr>
        <w:spacing w:line="276" w:lineRule="auto"/>
        <w:rPr>
          <w:rFonts w:cstheme="minorHAnsi"/>
        </w:rPr>
      </w:pPr>
      <w:r w:rsidRPr="00D5557E">
        <w:rPr>
          <w:rFonts w:cstheme="minorHAnsi"/>
        </w:rPr>
        <w:t>In total, 29 candidate Initial Landscape Investments were proposed. These high-</w:t>
      </w:r>
      <w:r w:rsidR="001B6FC3">
        <w:rPr>
          <w:rFonts w:cstheme="minorHAnsi"/>
        </w:rPr>
        <w:t>risk</w:t>
      </w:r>
      <w:r w:rsidRPr="00D5557E">
        <w:rPr>
          <w:rFonts w:cstheme="minorHAnsi"/>
        </w:rPr>
        <w:t xml:space="preserve"> </w:t>
      </w:r>
      <w:proofErr w:type="spellStart"/>
      <w:r w:rsidRPr="00D5557E">
        <w:rPr>
          <w:rFonts w:cstheme="minorHAnsi"/>
        </w:rPr>
        <w:t>firesheds</w:t>
      </w:r>
      <w:proofErr w:type="spellEnd"/>
      <w:r w:rsidRPr="00D5557E">
        <w:rPr>
          <w:rFonts w:cstheme="minorHAnsi"/>
        </w:rPr>
        <w:t xml:space="preserve"> were identified as critical anchoring geographies around which Initial Landscape Investments will be built.</w:t>
      </w:r>
    </w:p>
    <w:p w14:paraId="246D68EF" w14:textId="77777777" w:rsidR="00D410ED" w:rsidRDefault="00D410ED" w:rsidP="00827F9B">
      <w:pPr>
        <w:pStyle w:val="NoSpacing"/>
        <w:spacing w:line="276" w:lineRule="auto"/>
        <w:rPr>
          <w:rFonts w:cstheme="minorHAnsi"/>
          <w:b/>
          <w:bCs/>
          <w:sz w:val="32"/>
          <w:szCs w:val="32"/>
        </w:rPr>
      </w:pPr>
    </w:p>
    <w:p w14:paraId="696B2904" w14:textId="6F345FDB" w:rsidR="005B2A6F" w:rsidRPr="0084451B" w:rsidRDefault="005B2A6F" w:rsidP="00827F9B">
      <w:pPr>
        <w:pStyle w:val="NoSpacing"/>
        <w:spacing w:line="276" w:lineRule="auto"/>
        <w:rPr>
          <w:rFonts w:cstheme="minorHAnsi"/>
          <w:b/>
          <w:bCs/>
          <w:sz w:val="28"/>
          <w:szCs w:val="28"/>
        </w:rPr>
      </w:pPr>
      <w:r w:rsidRPr="0084451B">
        <w:rPr>
          <w:rFonts w:cstheme="minorHAnsi"/>
          <w:b/>
          <w:bCs/>
          <w:sz w:val="28"/>
          <w:szCs w:val="28"/>
        </w:rPr>
        <w:t>Recommendation</w:t>
      </w:r>
    </w:p>
    <w:p w14:paraId="32304F9C" w14:textId="1D483478" w:rsidR="00973CB1" w:rsidRPr="00827F9B" w:rsidRDefault="00973CB1" w:rsidP="00973CB1">
      <w:pPr>
        <w:pStyle w:val="NoSpacing"/>
        <w:spacing w:line="276" w:lineRule="auto"/>
        <w:rPr>
          <w:rStyle w:val="normaltextrun"/>
          <w:rFonts w:cstheme="minorHAnsi"/>
          <w:color w:val="000000"/>
          <w:shd w:val="clear" w:color="auto" w:fill="FFFFFF"/>
        </w:rPr>
      </w:pPr>
      <w:r w:rsidRPr="00827F9B">
        <w:rPr>
          <w:rFonts w:cstheme="minorHAnsi"/>
        </w:rPr>
        <w:t xml:space="preserve">The following list represents those landscapes that are most closely aligned with high-risk </w:t>
      </w:r>
      <w:proofErr w:type="spellStart"/>
      <w:r w:rsidR="00A551D6">
        <w:rPr>
          <w:rFonts w:cstheme="minorHAnsi"/>
        </w:rPr>
        <w:t>f</w:t>
      </w:r>
      <w:r w:rsidR="00006935" w:rsidRPr="00827F9B">
        <w:rPr>
          <w:rFonts w:cstheme="minorHAnsi"/>
        </w:rPr>
        <w:t>iresheds</w:t>
      </w:r>
      <w:proofErr w:type="spellEnd"/>
      <w:r w:rsidRPr="00827F9B">
        <w:rPr>
          <w:rFonts w:cstheme="minorHAnsi"/>
        </w:rPr>
        <w:t xml:space="preserve"> and provide treatments at a scale</w:t>
      </w:r>
      <w:r>
        <w:rPr>
          <w:rFonts w:cstheme="minorHAnsi"/>
        </w:rPr>
        <w:t xml:space="preserve"> or can be built out to scale</w:t>
      </w:r>
      <w:r w:rsidRPr="00827F9B">
        <w:rPr>
          <w:rFonts w:cstheme="minorHAnsi"/>
        </w:rPr>
        <w:t xml:space="preserve"> that will make a difference in reducing wildfire risk. This initial announcement is a total of 10 landscapes in </w:t>
      </w:r>
      <w:r w:rsidR="00D5557E">
        <w:rPr>
          <w:rFonts w:cstheme="minorHAnsi"/>
        </w:rPr>
        <w:t xml:space="preserve">Arizona, California, Colorado, Idaho, Montana, New Mexico, Oregon, and </w:t>
      </w:r>
      <w:r w:rsidRPr="00827F9B">
        <w:rPr>
          <w:rFonts w:cstheme="minorHAnsi"/>
        </w:rPr>
        <w:t>Washington.</w:t>
      </w:r>
      <w:r w:rsidRPr="00827F9B">
        <w:rPr>
          <w:rStyle w:val="normaltextrun"/>
          <w:rFonts w:cstheme="minorHAnsi"/>
          <w:color w:val="000000"/>
          <w:shd w:val="clear" w:color="auto" w:fill="FFFFFF"/>
        </w:rPr>
        <w:t> In FY 2022, the agency intends to invest $1</w:t>
      </w:r>
      <w:r>
        <w:rPr>
          <w:rStyle w:val="normaltextrun"/>
          <w:rFonts w:cstheme="minorHAnsi"/>
          <w:color w:val="000000"/>
          <w:shd w:val="clear" w:color="auto" w:fill="FFFFFF"/>
        </w:rPr>
        <w:t>31</w:t>
      </w:r>
      <w:r w:rsidRPr="00827F9B">
        <w:rPr>
          <w:rStyle w:val="normaltextrun"/>
          <w:rFonts w:cstheme="minorHAnsi"/>
          <w:color w:val="000000"/>
          <w:shd w:val="clear" w:color="auto" w:fill="FFFFFF"/>
        </w:rPr>
        <w:t xml:space="preserve"> million for implementation within high-risk </w:t>
      </w:r>
      <w:proofErr w:type="spellStart"/>
      <w:r w:rsidR="00A551D6">
        <w:rPr>
          <w:rStyle w:val="normaltextrun"/>
          <w:rFonts w:cstheme="minorHAnsi"/>
          <w:color w:val="000000"/>
          <w:shd w:val="clear" w:color="auto" w:fill="FFFFFF"/>
        </w:rPr>
        <w:t>fi</w:t>
      </w:r>
      <w:r w:rsidR="00006935" w:rsidRPr="00827F9B">
        <w:rPr>
          <w:rStyle w:val="normaltextrun"/>
          <w:rFonts w:cstheme="minorHAnsi"/>
          <w:color w:val="000000"/>
          <w:shd w:val="clear" w:color="auto" w:fill="FFFFFF"/>
        </w:rPr>
        <w:t>resheds</w:t>
      </w:r>
      <w:proofErr w:type="spellEnd"/>
      <w:r w:rsidRPr="00827F9B">
        <w:rPr>
          <w:rStyle w:val="normaltextrun"/>
          <w:rFonts w:cstheme="minorHAnsi"/>
          <w:color w:val="000000"/>
          <w:shd w:val="clear" w:color="auto" w:fill="FFFFFF"/>
        </w:rPr>
        <w:t xml:space="preserve">, as well as investing in enabling conditions that will lead to increased capacity over time (including $34 million in salary). These investments will lead to </w:t>
      </w:r>
      <w:r w:rsidR="005B556D">
        <w:rPr>
          <w:rStyle w:val="normaltextrun"/>
          <w:rFonts w:cstheme="minorHAnsi"/>
          <w:color w:val="000000"/>
          <w:shd w:val="clear" w:color="auto" w:fill="FFFFFF"/>
        </w:rPr>
        <w:t>20</w:t>
      </w:r>
      <w:r w:rsidR="007351E3">
        <w:rPr>
          <w:rStyle w:val="normaltextrun"/>
          <w:rFonts w:cstheme="minorHAnsi"/>
          <w:color w:val="000000"/>
          <w:shd w:val="clear" w:color="auto" w:fill="FFFFFF"/>
        </w:rPr>
        <w:t xml:space="preserve">8,000 </w:t>
      </w:r>
      <w:r>
        <w:rPr>
          <w:rStyle w:val="normaltextrun"/>
          <w:rFonts w:cstheme="minorHAnsi"/>
          <w:color w:val="000000"/>
          <w:shd w:val="clear" w:color="auto" w:fill="FFFFFF"/>
        </w:rPr>
        <w:t>a</w:t>
      </w:r>
      <w:r w:rsidRPr="00827F9B">
        <w:rPr>
          <w:rStyle w:val="normaltextrun"/>
          <w:rFonts w:cstheme="minorHAnsi"/>
          <w:color w:val="000000"/>
          <w:shd w:val="clear" w:color="auto" w:fill="FFFFFF"/>
        </w:rPr>
        <w:t>cres of treatment in FY 2022, but more importantly, will lead to increased outcomes in subsequent years.</w:t>
      </w:r>
    </w:p>
    <w:p w14:paraId="4455627D" w14:textId="77777777" w:rsidR="00677FC2" w:rsidRPr="00827F9B" w:rsidRDefault="00677FC2" w:rsidP="00827F9B">
      <w:pPr>
        <w:pStyle w:val="NoSpacing"/>
        <w:spacing w:line="276" w:lineRule="auto"/>
        <w:rPr>
          <w:rStyle w:val="normaltextrun"/>
          <w:rFonts w:cstheme="minorHAnsi"/>
          <w:color w:val="000000"/>
          <w:sz w:val="20"/>
          <w:szCs w:val="20"/>
          <w:shd w:val="clear" w:color="auto" w:fill="FFFFFF"/>
        </w:rPr>
      </w:pPr>
    </w:p>
    <w:p w14:paraId="7C6AED7E" w14:textId="77777777" w:rsidR="005B2A6F" w:rsidRPr="00827F9B" w:rsidRDefault="005B2A6F" w:rsidP="00827F9B">
      <w:pPr>
        <w:pStyle w:val="NoSpacing"/>
        <w:spacing w:line="276" w:lineRule="auto"/>
        <w:rPr>
          <w:rStyle w:val="normaltextrun"/>
          <w:rFonts w:cstheme="minorHAnsi"/>
          <w:color w:val="000000"/>
          <w:sz w:val="20"/>
          <w:szCs w:val="20"/>
          <w:shd w:val="clear" w:color="auto" w:fill="FFFFFF"/>
        </w:rPr>
      </w:pPr>
    </w:p>
    <w:tbl>
      <w:tblPr>
        <w:tblW w:w="10235" w:type="dxa"/>
        <w:tblCellMar>
          <w:top w:w="15" w:type="dxa"/>
          <w:bottom w:w="15" w:type="dxa"/>
        </w:tblCellMar>
        <w:tblLook w:val="04A0" w:firstRow="1" w:lastRow="0" w:firstColumn="1" w:lastColumn="0" w:noHBand="0" w:noVBand="1"/>
      </w:tblPr>
      <w:tblGrid>
        <w:gridCol w:w="1835"/>
        <w:gridCol w:w="945"/>
        <w:gridCol w:w="1071"/>
        <w:gridCol w:w="1380"/>
        <w:gridCol w:w="1997"/>
        <w:gridCol w:w="1305"/>
        <w:gridCol w:w="1702"/>
      </w:tblGrid>
      <w:tr w:rsidR="00537B46" w14:paraId="19A74594" w14:textId="77777777" w:rsidTr="00D5557E">
        <w:trPr>
          <w:trHeight w:val="300"/>
        </w:trPr>
        <w:tc>
          <w:tcPr>
            <w:tcW w:w="3851" w:type="dxa"/>
            <w:gridSpan w:val="3"/>
            <w:tcBorders>
              <w:top w:val="single" w:sz="8" w:space="0" w:color="000000"/>
              <w:left w:val="single" w:sz="8" w:space="0" w:color="000000"/>
              <w:bottom w:val="single" w:sz="4" w:space="0" w:color="auto"/>
              <w:right w:val="nil"/>
            </w:tcBorders>
            <w:shd w:val="clear" w:color="000000" w:fill="70AD47"/>
            <w:vAlign w:val="bottom"/>
            <w:hideMark/>
          </w:tcPr>
          <w:p w14:paraId="2EB03C71" w14:textId="77777777" w:rsidR="00537B46" w:rsidRPr="00973CB1" w:rsidRDefault="00537B46" w:rsidP="00A11787">
            <w:pPr>
              <w:rPr>
                <w:rFonts w:ascii="Calibri" w:hAnsi="Calibri" w:cs="Calibri"/>
                <w:b/>
                <w:bCs/>
                <w:color w:val="FFFFFF"/>
                <w:sz w:val="20"/>
                <w:szCs w:val="20"/>
              </w:rPr>
            </w:pPr>
            <w:r w:rsidRPr="00973CB1">
              <w:rPr>
                <w:rFonts w:ascii="Calibri" w:hAnsi="Calibri" w:cs="Calibri"/>
                <w:b/>
                <w:bCs/>
                <w:color w:val="FFFFFF"/>
                <w:sz w:val="20"/>
                <w:szCs w:val="20"/>
              </w:rPr>
              <w:lastRenderedPageBreak/>
              <w:t> </w:t>
            </w:r>
          </w:p>
        </w:tc>
        <w:tc>
          <w:tcPr>
            <w:tcW w:w="3377" w:type="dxa"/>
            <w:gridSpan w:val="2"/>
            <w:tcBorders>
              <w:top w:val="single" w:sz="8" w:space="0" w:color="000000"/>
              <w:left w:val="nil"/>
              <w:bottom w:val="single" w:sz="4" w:space="0" w:color="auto"/>
              <w:right w:val="nil"/>
            </w:tcBorders>
            <w:shd w:val="clear" w:color="000000" w:fill="70AD47"/>
            <w:vAlign w:val="bottom"/>
            <w:hideMark/>
          </w:tcPr>
          <w:p w14:paraId="3A0B90FF" w14:textId="77777777" w:rsidR="00537B46" w:rsidRPr="00973CB1" w:rsidRDefault="00537B46" w:rsidP="00A11787">
            <w:pPr>
              <w:jc w:val="center"/>
              <w:rPr>
                <w:rFonts w:ascii="Calibri" w:hAnsi="Calibri" w:cs="Calibri"/>
                <w:b/>
                <w:bCs/>
                <w:color w:val="FFFFFF"/>
                <w:sz w:val="20"/>
                <w:szCs w:val="20"/>
              </w:rPr>
            </w:pPr>
            <w:r w:rsidRPr="00973CB1">
              <w:rPr>
                <w:rFonts w:ascii="Calibri" w:hAnsi="Calibri" w:cs="Calibri"/>
                <w:b/>
                <w:bCs/>
                <w:color w:val="FFFFFF"/>
                <w:sz w:val="20"/>
                <w:szCs w:val="20"/>
              </w:rPr>
              <w:t>FY22</w:t>
            </w:r>
          </w:p>
        </w:tc>
        <w:tc>
          <w:tcPr>
            <w:tcW w:w="3007" w:type="dxa"/>
            <w:gridSpan w:val="2"/>
            <w:tcBorders>
              <w:top w:val="single" w:sz="8" w:space="0" w:color="000000"/>
              <w:left w:val="single" w:sz="8" w:space="0" w:color="000000"/>
              <w:bottom w:val="single" w:sz="4" w:space="0" w:color="auto"/>
              <w:right w:val="nil"/>
            </w:tcBorders>
            <w:shd w:val="clear" w:color="000000" w:fill="70AD47"/>
            <w:vAlign w:val="bottom"/>
            <w:hideMark/>
          </w:tcPr>
          <w:p w14:paraId="68C64739" w14:textId="77777777" w:rsidR="00537B46" w:rsidRPr="00973CB1" w:rsidRDefault="00537B46" w:rsidP="00A11787">
            <w:pPr>
              <w:jc w:val="center"/>
              <w:rPr>
                <w:rFonts w:ascii="Calibri" w:hAnsi="Calibri" w:cs="Calibri"/>
                <w:b/>
                <w:bCs/>
                <w:color w:val="FFFFFF"/>
                <w:sz w:val="20"/>
                <w:szCs w:val="20"/>
              </w:rPr>
            </w:pPr>
            <w:r w:rsidRPr="00973CB1">
              <w:rPr>
                <w:rFonts w:ascii="Calibri" w:hAnsi="Calibri" w:cs="Calibri"/>
                <w:b/>
                <w:bCs/>
                <w:color w:val="FFFFFF"/>
                <w:sz w:val="20"/>
                <w:szCs w:val="20"/>
              </w:rPr>
              <w:t>Total for FY22-24</w:t>
            </w:r>
          </w:p>
        </w:tc>
      </w:tr>
      <w:tr w:rsidR="00537B46" w14:paraId="19F6043D" w14:textId="77777777" w:rsidTr="00D5557E">
        <w:trPr>
          <w:trHeight w:val="1083"/>
        </w:trPr>
        <w:tc>
          <w:tcPr>
            <w:tcW w:w="1835" w:type="dxa"/>
            <w:tcBorders>
              <w:top w:val="single" w:sz="4" w:space="0" w:color="auto"/>
              <w:left w:val="single" w:sz="8" w:space="0" w:color="000000"/>
              <w:bottom w:val="single" w:sz="4" w:space="0" w:color="auto"/>
              <w:right w:val="single" w:sz="4" w:space="0" w:color="auto"/>
            </w:tcBorders>
            <w:shd w:val="clear" w:color="000000" w:fill="E2EFD9"/>
            <w:vAlign w:val="bottom"/>
            <w:hideMark/>
          </w:tcPr>
          <w:p w14:paraId="4124F982"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Landscape Name</w:t>
            </w:r>
            <w:r w:rsidRPr="00973CB1">
              <w:rPr>
                <w:rStyle w:val="font251"/>
                <w:sz w:val="20"/>
                <w:szCs w:val="20"/>
              </w:rPr>
              <w:t> </w:t>
            </w:r>
          </w:p>
        </w:tc>
        <w:tc>
          <w:tcPr>
            <w:tcW w:w="945" w:type="dxa"/>
            <w:tcBorders>
              <w:top w:val="single" w:sz="4" w:space="0" w:color="auto"/>
              <w:left w:val="single" w:sz="4" w:space="0" w:color="auto"/>
              <w:bottom w:val="single" w:sz="4" w:space="0" w:color="auto"/>
              <w:right w:val="single" w:sz="4" w:space="0" w:color="auto"/>
            </w:tcBorders>
            <w:shd w:val="clear" w:color="000000" w:fill="E2EFD9"/>
            <w:vAlign w:val="bottom"/>
            <w:hideMark/>
          </w:tcPr>
          <w:p w14:paraId="4284D9A7"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State</w:t>
            </w:r>
          </w:p>
        </w:tc>
        <w:tc>
          <w:tcPr>
            <w:tcW w:w="1071" w:type="dxa"/>
            <w:tcBorders>
              <w:top w:val="single" w:sz="4" w:space="0" w:color="auto"/>
              <w:left w:val="single" w:sz="4" w:space="0" w:color="auto"/>
              <w:bottom w:val="single" w:sz="4" w:space="0" w:color="auto"/>
              <w:right w:val="single" w:sz="8" w:space="0" w:color="000000"/>
            </w:tcBorders>
            <w:shd w:val="clear" w:color="000000" w:fill="E2EFD9"/>
            <w:vAlign w:val="bottom"/>
            <w:hideMark/>
          </w:tcPr>
          <w:p w14:paraId="7D9EA4F2"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Size of Landscape (Acres) </w:t>
            </w:r>
          </w:p>
        </w:tc>
        <w:tc>
          <w:tcPr>
            <w:tcW w:w="1380" w:type="dxa"/>
            <w:tcBorders>
              <w:top w:val="single" w:sz="4" w:space="0" w:color="auto"/>
              <w:left w:val="nil"/>
              <w:bottom w:val="single" w:sz="4" w:space="0" w:color="auto"/>
              <w:right w:val="single" w:sz="4" w:space="0" w:color="auto"/>
            </w:tcBorders>
            <w:shd w:val="clear" w:color="000000" w:fill="E2EFD9"/>
            <w:vAlign w:val="bottom"/>
            <w:hideMark/>
          </w:tcPr>
          <w:p w14:paraId="4A2ACA7B"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FY22 Funding (Millions)</w:t>
            </w:r>
          </w:p>
        </w:tc>
        <w:tc>
          <w:tcPr>
            <w:tcW w:w="1997" w:type="dxa"/>
            <w:tcBorders>
              <w:top w:val="single" w:sz="4" w:space="0" w:color="auto"/>
              <w:left w:val="single" w:sz="4" w:space="0" w:color="auto"/>
              <w:bottom w:val="single" w:sz="4" w:space="0" w:color="auto"/>
              <w:right w:val="nil"/>
            </w:tcBorders>
            <w:shd w:val="clear" w:color="000000" w:fill="E2EFD9"/>
            <w:vAlign w:val="bottom"/>
            <w:hideMark/>
          </w:tcPr>
          <w:p w14:paraId="66A6A02E"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FY22 Accomplishment (Acres</w:t>
            </w:r>
            <w:r>
              <w:rPr>
                <w:rFonts w:ascii="Calibri" w:hAnsi="Calibri" w:cs="Calibri"/>
                <w:sz w:val="20"/>
                <w:szCs w:val="20"/>
              </w:rPr>
              <w:t>/</w:t>
            </w:r>
            <w:proofErr w:type="spellStart"/>
            <w:r>
              <w:rPr>
                <w:rFonts w:ascii="Calibri" w:hAnsi="Calibri" w:cs="Calibri"/>
                <w:sz w:val="20"/>
                <w:szCs w:val="20"/>
              </w:rPr>
              <w:t>mmbf</w:t>
            </w:r>
            <w:proofErr w:type="spellEnd"/>
            <w:r w:rsidRPr="00973CB1">
              <w:rPr>
                <w:rFonts w:ascii="Calibri" w:hAnsi="Calibri" w:cs="Calibri"/>
                <w:sz w:val="20"/>
                <w:szCs w:val="20"/>
              </w:rPr>
              <w:t>)</w:t>
            </w:r>
          </w:p>
        </w:tc>
        <w:tc>
          <w:tcPr>
            <w:tcW w:w="1305" w:type="dxa"/>
            <w:tcBorders>
              <w:top w:val="single" w:sz="4" w:space="0" w:color="auto"/>
              <w:left w:val="single" w:sz="8" w:space="0" w:color="000000"/>
              <w:bottom w:val="single" w:sz="4" w:space="0" w:color="auto"/>
              <w:right w:val="single" w:sz="4" w:space="0" w:color="auto"/>
            </w:tcBorders>
            <w:shd w:val="clear" w:color="000000" w:fill="E2EFD9"/>
            <w:vAlign w:val="bottom"/>
            <w:hideMark/>
          </w:tcPr>
          <w:p w14:paraId="215BFA33"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Total FY22-24 Funding (Millions)</w:t>
            </w:r>
          </w:p>
        </w:tc>
        <w:tc>
          <w:tcPr>
            <w:tcW w:w="1702" w:type="dxa"/>
            <w:tcBorders>
              <w:top w:val="single" w:sz="4" w:space="0" w:color="auto"/>
              <w:left w:val="single" w:sz="4" w:space="0" w:color="auto"/>
              <w:bottom w:val="single" w:sz="4" w:space="0" w:color="auto"/>
              <w:right w:val="single" w:sz="8" w:space="0" w:color="000000"/>
            </w:tcBorders>
            <w:shd w:val="clear" w:color="000000" w:fill="E2EFD9"/>
            <w:vAlign w:val="bottom"/>
            <w:hideMark/>
          </w:tcPr>
          <w:p w14:paraId="609A492C"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Total FY22-24 Accomplishment (Acres)</w:t>
            </w:r>
          </w:p>
        </w:tc>
      </w:tr>
      <w:tr w:rsidR="00537B46" w14:paraId="1D95FEC6"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0E0D572E"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4FRI </w:t>
            </w:r>
          </w:p>
        </w:tc>
        <w:tc>
          <w:tcPr>
            <w:tcW w:w="945" w:type="dxa"/>
            <w:tcBorders>
              <w:top w:val="single" w:sz="4" w:space="0" w:color="auto"/>
              <w:left w:val="single" w:sz="4" w:space="0" w:color="auto"/>
              <w:bottom w:val="single" w:sz="4" w:space="0" w:color="auto"/>
              <w:right w:val="single" w:sz="4" w:space="0" w:color="auto"/>
            </w:tcBorders>
            <w:vAlign w:val="bottom"/>
          </w:tcPr>
          <w:p w14:paraId="30D629F9"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AZ</w:t>
            </w:r>
          </w:p>
        </w:tc>
        <w:tc>
          <w:tcPr>
            <w:tcW w:w="1071" w:type="dxa"/>
            <w:tcBorders>
              <w:top w:val="single" w:sz="4" w:space="0" w:color="auto"/>
              <w:left w:val="single" w:sz="4" w:space="0" w:color="auto"/>
              <w:bottom w:val="single" w:sz="4" w:space="0" w:color="auto"/>
              <w:right w:val="single" w:sz="8" w:space="0" w:color="000000"/>
            </w:tcBorders>
            <w:vAlign w:val="bottom"/>
          </w:tcPr>
          <w:p w14:paraId="2314FA05" w14:textId="77777777" w:rsidR="00537B46" w:rsidRPr="00973CB1" w:rsidRDefault="00537B46" w:rsidP="00A11787">
            <w:pPr>
              <w:rPr>
                <w:rFonts w:ascii="Calibri" w:hAnsi="Calibri" w:cs="Calibri"/>
                <w:sz w:val="20"/>
                <w:szCs w:val="20"/>
              </w:rPr>
            </w:pPr>
            <w:r>
              <w:rPr>
                <w:rFonts w:ascii="Calibri" w:hAnsi="Calibri" w:cs="Calibri"/>
                <w:sz w:val="20"/>
                <w:szCs w:val="20"/>
              </w:rPr>
              <w:t>2,400,000</w:t>
            </w:r>
            <w:r w:rsidRPr="00973CB1">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vAlign w:val="bottom"/>
          </w:tcPr>
          <w:p w14:paraId="76C84D02"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$12.0</w:t>
            </w:r>
          </w:p>
        </w:tc>
        <w:tc>
          <w:tcPr>
            <w:tcW w:w="1997" w:type="dxa"/>
            <w:tcBorders>
              <w:top w:val="single" w:sz="4" w:space="0" w:color="auto"/>
              <w:left w:val="nil"/>
              <w:bottom w:val="single" w:sz="4" w:space="0" w:color="auto"/>
              <w:right w:val="single" w:sz="4" w:space="0" w:color="auto"/>
            </w:tcBorders>
            <w:noWrap/>
            <w:vAlign w:val="bottom"/>
          </w:tcPr>
          <w:p w14:paraId="7D3F3298"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Calibri" w:hAnsi="Calibri" w:cs="Calibri"/>
                <w:sz w:val="20"/>
                <w:szCs w:val="20"/>
              </w:rPr>
              <w:t>100,000</w:t>
            </w:r>
            <w:r>
              <w:rPr>
                <w:rFonts w:ascii="Calibri" w:hAnsi="Calibri" w:cs="Calibri"/>
                <w:sz w:val="20"/>
                <w:szCs w:val="20"/>
              </w:rPr>
              <w:t>/139</w:t>
            </w:r>
          </w:p>
        </w:tc>
        <w:tc>
          <w:tcPr>
            <w:tcW w:w="1305" w:type="dxa"/>
            <w:tcBorders>
              <w:top w:val="single" w:sz="4" w:space="0" w:color="auto"/>
              <w:left w:val="single" w:sz="4" w:space="0" w:color="auto"/>
              <w:bottom w:val="single" w:sz="4" w:space="0" w:color="auto"/>
              <w:right w:val="single" w:sz="4" w:space="0" w:color="auto"/>
            </w:tcBorders>
            <w:vAlign w:val="bottom"/>
          </w:tcPr>
          <w:p w14:paraId="7C84EE92"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$160.0</w:t>
            </w:r>
          </w:p>
        </w:tc>
        <w:tc>
          <w:tcPr>
            <w:tcW w:w="1702" w:type="dxa"/>
            <w:tcBorders>
              <w:top w:val="single" w:sz="4" w:space="0" w:color="auto"/>
              <w:left w:val="single" w:sz="4" w:space="0" w:color="auto"/>
              <w:bottom w:val="single" w:sz="4" w:space="0" w:color="auto"/>
              <w:right w:val="single" w:sz="8" w:space="0" w:color="000000"/>
            </w:tcBorders>
            <w:vAlign w:val="bottom"/>
          </w:tcPr>
          <w:p w14:paraId="12C152E6"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300,000</w:t>
            </w:r>
          </w:p>
        </w:tc>
      </w:tr>
      <w:tr w:rsidR="00537B46" w14:paraId="170D502D"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1E5BB4C5"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Prescott </w:t>
            </w:r>
          </w:p>
        </w:tc>
        <w:tc>
          <w:tcPr>
            <w:tcW w:w="945" w:type="dxa"/>
            <w:tcBorders>
              <w:top w:val="single" w:sz="4" w:space="0" w:color="auto"/>
              <w:left w:val="single" w:sz="4" w:space="0" w:color="auto"/>
              <w:bottom w:val="single" w:sz="4" w:space="0" w:color="auto"/>
              <w:right w:val="single" w:sz="4" w:space="0" w:color="auto"/>
            </w:tcBorders>
            <w:vAlign w:val="bottom"/>
          </w:tcPr>
          <w:p w14:paraId="3F329DF1"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AZ</w:t>
            </w:r>
          </w:p>
        </w:tc>
        <w:tc>
          <w:tcPr>
            <w:tcW w:w="1071" w:type="dxa"/>
            <w:tcBorders>
              <w:top w:val="single" w:sz="4" w:space="0" w:color="auto"/>
              <w:left w:val="single" w:sz="4" w:space="0" w:color="auto"/>
              <w:bottom w:val="single" w:sz="4" w:space="0" w:color="auto"/>
              <w:right w:val="single" w:sz="8" w:space="0" w:color="000000"/>
            </w:tcBorders>
            <w:vAlign w:val="bottom"/>
          </w:tcPr>
          <w:p w14:paraId="13E1FF1E"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401,</w:t>
            </w:r>
            <w:r>
              <w:rPr>
                <w:rFonts w:ascii="Calibri" w:hAnsi="Calibri" w:cs="Calibri"/>
                <w:sz w:val="20"/>
                <w:szCs w:val="20"/>
              </w:rPr>
              <w:t>000</w:t>
            </w:r>
          </w:p>
        </w:tc>
        <w:tc>
          <w:tcPr>
            <w:tcW w:w="1380" w:type="dxa"/>
            <w:tcBorders>
              <w:top w:val="single" w:sz="4" w:space="0" w:color="auto"/>
              <w:left w:val="nil"/>
              <w:bottom w:val="single" w:sz="4" w:space="0" w:color="auto"/>
              <w:right w:val="single" w:sz="4" w:space="0" w:color="auto"/>
            </w:tcBorders>
            <w:vAlign w:val="bottom"/>
          </w:tcPr>
          <w:p w14:paraId="6004F032"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$11.1</w:t>
            </w:r>
          </w:p>
        </w:tc>
        <w:tc>
          <w:tcPr>
            <w:tcW w:w="1997" w:type="dxa"/>
            <w:tcBorders>
              <w:top w:val="single" w:sz="4" w:space="0" w:color="auto"/>
              <w:left w:val="nil"/>
              <w:bottom w:val="single" w:sz="4" w:space="0" w:color="auto"/>
              <w:right w:val="single" w:sz="4" w:space="0" w:color="auto"/>
            </w:tcBorders>
            <w:noWrap/>
            <w:vAlign w:val="bottom"/>
          </w:tcPr>
          <w:p w14:paraId="387FA740"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Calibri" w:hAnsi="Calibri" w:cs="Calibri"/>
                <w:sz w:val="20"/>
                <w:szCs w:val="20"/>
              </w:rPr>
              <w:t>28,0</w:t>
            </w:r>
            <w:r>
              <w:rPr>
                <w:rFonts w:ascii="Calibri" w:hAnsi="Calibri" w:cs="Calibri"/>
                <w:sz w:val="20"/>
                <w:szCs w:val="20"/>
              </w:rPr>
              <w:t>0</w:t>
            </w:r>
            <w:r w:rsidRPr="00973CB1">
              <w:rPr>
                <w:rFonts w:ascii="Calibri" w:hAnsi="Calibri" w:cs="Calibri"/>
                <w:sz w:val="20"/>
                <w:szCs w:val="20"/>
              </w:rPr>
              <w:t>0</w:t>
            </w:r>
            <w:r>
              <w:rPr>
                <w:rFonts w:ascii="Calibri" w:hAnsi="Calibri" w:cs="Calibri"/>
                <w:sz w:val="20"/>
                <w:szCs w:val="20"/>
              </w:rPr>
              <w:t>/2</w:t>
            </w:r>
          </w:p>
        </w:tc>
        <w:tc>
          <w:tcPr>
            <w:tcW w:w="1305" w:type="dxa"/>
            <w:tcBorders>
              <w:top w:val="single" w:sz="4" w:space="0" w:color="auto"/>
              <w:left w:val="single" w:sz="4" w:space="0" w:color="auto"/>
              <w:bottom w:val="single" w:sz="4" w:space="0" w:color="auto"/>
              <w:right w:val="single" w:sz="4" w:space="0" w:color="auto"/>
            </w:tcBorders>
            <w:vAlign w:val="bottom"/>
          </w:tcPr>
          <w:p w14:paraId="14400A1C"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$28.7</w:t>
            </w:r>
          </w:p>
        </w:tc>
        <w:tc>
          <w:tcPr>
            <w:tcW w:w="1702" w:type="dxa"/>
            <w:tcBorders>
              <w:top w:val="single" w:sz="4" w:space="0" w:color="auto"/>
              <w:left w:val="single" w:sz="4" w:space="0" w:color="auto"/>
              <w:bottom w:val="single" w:sz="4" w:space="0" w:color="auto"/>
              <w:right w:val="single" w:sz="8" w:space="0" w:color="000000"/>
            </w:tcBorders>
            <w:vAlign w:val="bottom"/>
          </w:tcPr>
          <w:p w14:paraId="77D08F10"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87,</w:t>
            </w:r>
            <w:r>
              <w:rPr>
                <w:rFonts w:ascii="Calibri" w:hAnsi="Calibri" w:cs="Calibri"/>
                <w:sz w:val="20"/>
                <w:szCs w:val="20"/>
              </w:rPr>
              <w:t>700</w:t>
            </w:r>
          </w:p>
        </w:tc>
      </w:tr>
      <w:tr w:rsidR="00537B46" w14:paraId="35CDB817"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74C98F75"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North Yuba </w:t>
            </w:r>
          </w:p>
        </w:tc>
        <w:tc>
          <w:tcPr>
            <w:tcW w:w="945" w:type="dxa"/>
            <w:tcBorders>
              <w:top w:val="single" w:sz="4" w:space="0" w:color="auto"/>
              <w:left w:val="single" w:sz="4" w:space="0" w:color="auto"/>
              <w:bottom w:val="single" w:sz="4" w:space="0" w:color="auto"/>
              <w:right w:val="single" w:sz="4" w:space="0" w:color="auto"/>
            </w:tcBorders>
            <w:vAlign w:val="bottom"/>
          </w:tcPr>
          <w:p w14:paraId="739175C9"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CA</w:t>
            </w:r>
          </w:p>
        </w:tc>
        <w:tc>
          <w:tcPr>
            <w:tcW w:w="1071" w:type="dxa"/>
            <w:tcBorders>
              <w:top w:val="single" w:sz="4" w:space="0" w:color="auto"/>
              <w:left w:val="single" w:sz="4" w:space="0" w:color="auto"/>
              <w:bottom w:val="single" w:sz="4" w:space="0" w:color="auto"/>
              <w:right w:val="single" w:sz="8" w:space="0" w:color="000000"/>
            </w:tcBorders>
            <w:vAlign w:val="bottom"/>
          </w:tcPr>
          <w:p w14:paraId="2E608AA5"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356,000 </w:t>
            </w:r>
          </w:p>
        </w:tc>
        <w:tc>
          <w:tcPr>
            <w:tcW w:w="1380" w:type="dxa"/>
            <w:tcBorders>
              <w:top w:val="single" w:sz="4" w:space="0" w:color="auto"/>
              <w:left w:val="nil"/>
              <w:bottom w:val="single" w:sz="4" w:space="0" w:color="auto"/>
              <w:right w:val="single" w:sz="4" w:space="0" w:color="auto"/>
            </w:tcBorders>
            <w:vAlign w:val="bottom"/>
          </w:tcPr>
          <w:p w14:paraId="48B3A1B3"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w:t>
            </w:r>
            <w:r>
              <w:rPr>
                <w:rFonts w:ascii="Calibri" w:hAnsi="Calibri" w:cs="Calibri"/>
                <w:sz w:val="20"/>
                <w:szCs w:val="20"/>
              </w:rPr>
              <w:t>6</w:t>
            </w:r>
            <w:r w:rsidRPr="00973CB1">
              <w:rPr>
                <w:rFonts w:ascii="Calibri" w:hAnsi="Calibri" w:cs="Calibri"/>
                <w:sz w:val="20"/>
                <w:szCs w:val="20"/>
              </w:rPr>
              <w:t>.8</w:t>
            </w:r>
          </w:p>
        </w:tc>
        <w:tc>
          <w:tcPr>
            <w:tcW w:w="1997" w:type="dxa"/>
            <w:tcBorders>
              <w:top w:val="single" w:sz="4" w:space="0" w:color="auto"/>
              <w:left w:val="nil"/>
              <w:bottom w:val="single" w:sz="4" w:space="0" w:color="auto"/>
              <w:right w:val="single" w:sz="4" w:space="0" w:color="auto"/>
            </w:tcBorders>
            <w:noWrap/>
            <w:vAlign w:val="bottom"/>
          </w:tcPr>
          <w:p w14:paraId="2E4F2DFD"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Calibri" w:hAnsi="Calibri" w:cs="Calibri"/>
                <w:sz w:val="20"/>
                <w:szCs w:val="20"/>
              </w:rPr>
              <w:t>4,500</w:t>
            </w:r>
            <w:r>
              <w:rPr>
                <w:rFonts w:ascii="Calibri" w:hAnsi="Calibri" w:cs="Calibri"/>
                <w:sz w:val="20"/>
                <w:szCs w:val="20"/>
              </w:rPr>
              <w:t>/12</w:t>
            </w:r>
          </w:p>
        </w:tc>
        <w:tc>
          <w:tcPr>
            <w:tcW w:w="1305" w:type="dxa"/>
            <w:tcBorders>
              <w:top w:val="single" w:sz="4" w:space="0" w:color="auto"/>
              <w:left w:val="single" w:sz="4" w:space="0" w:color="auto"/>
              <w:bottom w:val="single" w:sz="4" w:space="0" w:color="auto"/>
              <w:right w:val="single" w:sz="4" w:space="0" w:color="auto"/>
            </w:tcBorders>
            <w:vAlign w:val="bottom"/>
          </w:tcPr>
          <w:p w14:paraId="2EA41435"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$25.5</w:t>
            </w:r>
          </w:p>
        </w:tc>
        <w:tc>
          <w:tcPr>
            <w:tcW w:w="1702" w:type="dxa"/>
            <w:tcBorders>
              <w:top w:val="single" w:sz="4" w:space="0" w:color="auto"/>
              <w:left w:val="single" w:sz="4" w:space="0" w:color="auto"/>
              <w:bottom w:val="single" w:sz="4" w:space="0" w:color="auto"/>
              <w:right w:val="single" w:sz="8" w:space="0" w:color="000000"/>
            </w:tcBorders>
            <w:vAlign w:val="bottom"/>
          </w:tcPr>
          <w:p w14:paraId="67A8122A"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16,900</w:t>
            </w:r>
          </w:p>
        </w:tc>
      </w:tr>
      <w:tr w:rsidR="00537B46" w14:paraId="225FB2E3"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301C143C"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Stanislaus </w:t>
            </w:r>
          </w:p>
        </w:tc>
        <w:tc>
          <w:tcPr>
            <w:tcW w:w="945" w:type="dxa"/>
            <w:tcBorders>
              <w:top w:val="single" w:sz="4" w:space="0" w:color="auto"/>
              <w:left w:val="single" w:sz="4" w:space="0" w:color="auto"/>
              <w:bottom w:val="single" w:sz="4" w:space="0" w:color="auto"/>
              <w:right w:val="single" w:sz="4" w:space="0" w:color="auto"/>
            </w:tcBorders>
            <w:vAlign w:val="bottom"/>
          </w:tcPr>
          <w:p w14:paraId="40411F62"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CA</w:t>
            </w:r>
          </w:p>
        </w:tc>
        <w:tc>
          <w:tcPr>
            <w:tcW w:w="1071" w:type="dxa"/>
            <w:tcBorders>
              <w:top w:val="single" w:sz="4" w:space="0" w:color="auto"/>
              <w:left w:val="single" w:sz="4" w:space="0" w:color="auto"/>
              <w:bottom w:val="single" w:sz="4" w:space="0" w:color="auto"/>
              <w:right w:val="single" w:sz="8" w:space="0" w:color="000000"/>
            </w:tcBorders>
            <w:vAlign w:val="bottom"/>
          </w:tcPr>
          <w:p w14:paraId="1D5DC76C"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245,00</w:t>
            </w:r>
            <w:r>
              <w:rPr>
                <w:rFonts w:ascii="Calibri" w:hAnsi="Calibri" w:cs="Calibri"/>
                <w:sz w:val="20"/>
                <w:szCs w:val="20"/>
              </w:rPr>
              <w:t>0</w:t>
            </w:r>
            <w:r w:rsidRPr="00973CB1">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vAlign w:val="bottom"/>
          </w:tcPr>
          <w:p w14:paraId="31B84563"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w:t>
            </w:r>
            <w:r>
              <w:rPr>
                <w:rFonts w:ascii="Calibri" w:hAnsi="Calibri" w:cs="Calibri"/>
                <w:sz w:val="20"/>
                <w:szCs w:val="20"/>
              </w:rPr>
              <w:t>21.8</w:t>
            </w:r>
          </w:p>
        </w:tc>
        <w:tc>
          <w:tcPr>
            <w:tcW w:w="1997" w:type="dxa"/>
            <w:tcBorders>
              <w:top w:val="single" w:sz="4" w:space="0" w:color="auto"/>
              <w:left w:val="nil"/>
              <w:bottom w:val="single" w:sz="4" w:space="0" w:color="auto"/>
              <w:right w:val="single" w:sz="4" w:space="0" w:color="auto"/>
            </w:tcBorders>
            <w:noWrap/>
            <w:vAlign w:val="bottom"/>
          </w:tcPr>
          <w:p w14:paraId="054AC7ED"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Calibri" w:hAnsi="Calibri" w:cs="Calibri"/>
                <w:sz w:val="20"/>
                <w:szCs w:val="20"/>
              </w:rPr>
              <w:t>8,500</w:t>
            </w:r>
            <w:r>
              <w:rPr>
                <w:rFonts w:ascii="Calibri" w:hAnsi="Calibri" w:cs="Calibri"/>
                <w:sz w:val="20"/>
                <w:szCs w:val="20"/>
              </w:rPr>
              <w:t>/14</w:t>
            </w:r>
          </w:p>
        </w:tc>
        <w:tc>
          <w:tcPr>
            <w:tcW w:w="1305" w:type="dxa"/>
            <w:tcBorders>
              <w:top w:val="single" w:sz="4" w:space="0" w:color="auto"/>
              <w:left w:val="single" w:sz="4" w:space="0" w:color="auto"/>
              <w:bottom w:val="single" w:sz="4" w:space="0" w:color="auto"/>
              <w:right w:val="single" w:sz="4" w:space="0" w:color="auto"/>
            </w:tcBorders>
            <w:vAlign w:val="bottom"/>
          </w:tcPr>
          <w:p w14:paraId="20E48439"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$55.2</w:t>
            </w:r>
          </w:p>
        </w:tc>
        <w:tc>
          <w:tcPr>
            <w:tcW w:w="1702" w:type="dxa"/>
            <w:tcBorders>
              <w:top w:val="single" w:sz="4" w:space="0" w:color="auto"/>
              <w:left w:val="single" w:sz="4" w:space="0" w:color="auto"/>
              <w:bottom w:val="single" w:sz="4" w:space="0" w:color="auto"/>
              <w:right w:val="single" w:sz="8" w:space="0" w:color="000000"/>
            </w:tcBorders>
            <w:vAlign w:val="bottom"/>
          </w:tcPr>
          <w:p w14:paraId="79B1503A"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32,500</w:t>
            </w:r>
          </w:p>
        </w:tc>
      </w:tr>
      <w:tr w:rsidR="00537B46" w14:paraId="080FB544"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4C5E8502"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Colorado Front Range </w:t>
            </w:r>
          </w:p>
        </w:tc>
        <w:tc>
          <w:tcPr>
            <w:tcW w:w="945" w:type="dxa"/>
            <w:tcBorders>
              <w:top w:val="single" w:sz="4" w:space="0" w:color="auto"/>
              <w:left w:val="single" w:sz="4" w:space="0" w:color="auto"/>
              <w:bottom w:val="single" w:sz="4" w:space="0" w:color="auto"/>
              <w:right w:val="single" w:sz="4" w:space="0" w:color="auto"/>
            </w:tcBorders>
            <w:vAlign w:val="bottom"/>
          </w:tcPr>
          <w:p w14:paraId="61216FB2"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CO</w:t>
            </w:r>
          </w:p>
        </w:tc>
        <w:tc>
          <w:tcPr>
            <w:tcW w:w="1071" w:type="dxa"/>
            <w:tcBorders>
              <w:top w:val="single" w:sz="4" w:space="0" w:color="auto"/>
              <w:left w:val="single" w:sz="4" w:space="0" w:color="auto"/>
              <w:bottom w:val="single" w:sz="4" w:space="0" w:color="auto"/>
              <w:right w:val="single" w:sz="8" w:space="0" w:color="000000"/>
            </w:tcBorders>
            <w:vAlign w:val="bottom"/>
          </w:tcPr>
          <w:p w14:paraId="5AC6F4ED"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3,</w:t>
            </w:r>
            <w:r>
              <w:rPr>
                <w:rFonts w:ascii="Calibri" w:hAnsi="Calibri" w:cs="Calibri"/>
                <w:sz w:val="20"/>
                <w:szCs w:val="20"/>
              </w:rPr>
              <w:t>500,000</w:t>
            </w:r>
            <w:r w:rsidRPr="00973CB1">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vAlign w:val="bottom"/>
          </w:tcPr>
          <w:p w14:paraId="1DAF0C34"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$18.1</w:t>
            </w:r>
          </w:p>
        </w:tc>
        <w:tc>
          <w:tcPr>
            <w:tcW w:w="1997" w:type="dxa"/>
            <w:tcBorders>
              <w:top w:val="single" w:sz="4" w:space="0" w:color="auto"/>
              <w:left w:val="nil"/>
              <w:bottom w:val="single" w:sz="4" w:space="0" w:color="auto"/>
              <w:right w:val="single" w:sz="4" w:space="0" w:color="auto"/>
            </w:tcBorders>
            <w:noWrap/>
            <w:vAlign w:val="bottom"/>
          </w:tcPr>
          <w:p w14:paraId="5F73F424" w14:textId="77777777" w:rsidR="00537B46" w:rsidRPr="00973CB1" w:rsidRDefault="00537B46" w:rsidP="00A11787">
            <w:pPr>
              <w:jc w:val="right"/>
              <w:rPr>
                <w:rFonts w:ascii="WordVisi_MSFontService" w:hAnsi="WordVisi_MSFontService" w:cs="Calibri"/>
                <w:color w:val="000000"/>
                <w:sz w:val="20"/>
                <w:szCs w:val="20"/>
              </w:rPr>
            </w:pPr>
            <w:r>
              <w:rPr>
                <w:rFonts w:ascii="Calibri" w:hAnsi="Calibri" w:cs="Calibri"/>
                <w:sz w:val="20"/>
                <w:szCs w:val="20"/>
              </w:rPr>
              <w:t>10,000/7</w:t>
            </w:r>
          </w:p>
        </w:tc>
        <w:tc>
          <w:tcPr>
            <w:tcW w:w="1305" w:type="dxa"/>
            <w:tcBorders>
              <w:top w:val="single" w:sz="4" w:space="0" w:color="auto"/>
              <w:left w:val="single" w:sz="4" w:space="0" w:color="auto"/>
              <w:bottom w:val="single" w:sz="4" w:space="0" w:color="auto"/>
              <w:right w:val="single" w:sz="4" w:space="0" w:color="auto"/>
            </w:tcBorders>
            <w:vAlign w:val="bottom"/>
          </w:tcPr>
          <w:p w14:paraId="7E69ED54"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$170.4</w:t>
            </w:r>
          </w:p>
        </w:tc>
        <w:tc>
          <w:tcPr>
            <w:tcW w:w="1702" w:type="dxa"/>
            <w:tcBorders>
              <w:top w:val="single" w:sz="4" w:space="0" w:color="auto"/>
              <w:left w:val="single" w:sz="4" w:space="0" w:color="auto"/>
              <w:bottom w:val="single" w:sz="4" w:space="0" w:color="auto"/>
              <w:right w:val="single" w:sz="8" w:space="0" w:color="000000"/>
            </w:tcBorders>
            <w:vAlign w:val="bottom"/>
          </w:tcPr>
          <w:p w14:paraId="40C2B111"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36,10</w:t>
            </w:r>
            <w:r>
              <w:rPr>
                <w:rFonts w:ascii="Calibri" w:hAnsi="Calibri" w:cs="Calibri"/>
                <w:sz w:val="20"/>
                <w:szCs w:val="20"/>
              </w:rPr>
              <w:t>0</w:t>
            </w:r>
          </w:p>
        </w:tc>
      </w:tr>
      <w:tr w:rsidR="00537B46" w14:paraId="523CA7E0"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tcPr>
          <w:p w14:paraId="5DA9AE3E"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Southwest Idaho </w:t>
            </w:r>
          </w:p>
        </w:tc>
        <w:tc>
          <w:tcPr>
            <w:tcW w:w="945" w:type="dxa"/>
            <w:tcBorders>
              <w:top w:val="single" w:sz="4" w:space="0" w:color="auto"/>
              <w:left w:val="single" w:sz="4" w:space="0" w:color="auto"/>
              <w:bottom w:val="single" w:sz="4" w:space="0" w:color="auto"/>
              <w:right w:val="single" w:sz="4" w:space="0" w:color="auto"/>
            </w:tcBorders>
            <w:vAlign w:val="bottom"/>
          </w:tcPr>
          <w:p w14:paraId="518E77BC"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ID</w:t>
            </w:r>
          </w:p>
        </w:tc>
        <w:tc>
          <w:tcPr>
            <w:tcW w:w="1071" w:type="dxa"/>
            <w:tcBorders>
              <w:top w:val="single" w:sz="4" w:space="0" w:color="auto"/>
              <w:left w:val="single" w:sz="4" w:space="0" w:color="auto"/>
              <w:bottom w:val="single" w:sz="4" w:space="0" w:color="auto"/>
              <w:right w:val="single" w:sz="8" w:space="0" w:color="000000"/>
            </w:tcBorders>
            <w:vAlign w:val="bottom"/>
          </w:tcPr>
          <w:p w14:paraId="619440C2" w14:textId="77777777" w:rsidR="00537B46" w:rsidRPr="00973CB1" w:rsidRDefault="00537B46" w:rsidP="00A11787">
            <w:pPr>
              <w:rPr>
                <w:rFonts w:ascii="Calibri" w:hAnsi="Calibri" w:cs="Calibri"/>
                <w:sz w:val="20"/>
                <w:szCs w:val="20"/>
              </w:rPr>
            </w:pPr>
            <w:r w:rsidRPr="00973CB1">
              <w:rPr>
                <w:rFonts w:ascii="Calibri" w:hAnsi="Calibri" w:cs="Calibri"/>
                <w:color w:val="000000"/>
                <w:sz w:val="20"/>
                <w:szCs w:val="20"/>
              </w:rPr>
              <w:t>1,</w:t>
            </w:r>
            <w:r>
              <w:rPr>
                <w:rFonts w:ascii="Calibri" w:hAnsi="Calibri" w:cs="Calibri"/>
                <w:color w:val="000000"/>
                <w:sz w:val="20"/>
                <w:szCs w:val="20"/>
              </w:rPr>
              <w:t>720,000</w:t>
            </w:r>
            <w:r w:rsidRPr="00973CB1">
              <w:rPr>
                <w:rFonts w:ascii="Calibri" w:hAnsi="Calibri" w:cs="Calibri"/>
                <w:color w:val="000000"/>
                <w:sz w:val="20"/>
                <w:szCs w:val="20"/>
              </w:rPr>
              <w:t> </w:t>
            </w:r>
          </w:p>
        </w:tc>
        <w:tc>
          <w:tcPr>
            <w:tcW w:w="1380" w:type="dxa"/>
            <w:tcBorders>
              <w:top w:val="single" w:sz="4" w:space="0" w:color="auto"/>
              <w:left w:val="nil"/>
              <w:bottom w:val="single" w:sz="4" w:space="0" w:color="auto"/>
              <w:right w:val="single" w:sz="4" w:space="0" w:color="auto"/>
            </w:tcBorders>
            <w:vAlign w:val="bottom"/>
          </w:tcPr>
          <w:p w14:paraId="0F854E09"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$17.4</w:t>
            </w:r>
          </w:p>
        </w:tc>
        <w:tc>
          <w:tcPr>
            <w:tcW w:w="1997" w:type="dxa"/>
            <w:tcBorders>
              <w:top w:val="single" w:sz="4" w:space="0" w:color="auto"/>
              <w:left w:val="nil"/>
              <w:bottom w:val="single" w:sz="4" w:space="0" w:color="auto"/>
              <w:right w:val="single" w:sz="4" w:space="0" w:color="auto"/>
            </w:tcBorders>
            <w:noWrap/>
            <w:vAlign w:val="bottom"/>
          </w:tcPr>
          <w:p w14:paraId="080F76E8"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Calibri" w:hAnsi="Calibri" w:cs="Calibri"/>
                <w:color w:val="000000"/>
                <w:sz w:val="20"/>
                <w:szCs w:val="20"/>
              </w:rPr>
              <w:t>18,000</w:t>
            </w:r>
            <w:r>
              <w:rPr>
                <w:rFonts w:ascii="Calibri" w:hAnsi="Calibri" w:cs="Calibri"/>
                <w:color w:val="000000"/>
                <w:sz w:val="20"/>
                <w:szCs w:val="20"/>
              </w:rPr>
              <w:t>/41</w:t>
            </w:r>
          </w:p>
        </w:tc>
        <w:tc>
          <w:tcPr>
            <w:tcW w:w="1305" w:type="dxa"/>
            <w:tcBorders>
              <w:top w:val="single" w:sz="4" w:space="0" w:color="auto"/>
              <w:left w:val="single" w:sz="4" w:space="0" w:color="auto"/>
              <w:bottom w:val="single" w:sz="4" w:space="0" w:color="auto"/>
              <w:right w:val="single" w:sz="4" w:space="0" w:color="auto"/>
            </w:tcBorders>
            <w:vAlign w:val="bottom"/>
          </w:tcPr>
          <w:p w14:paraId="54514845"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$59.5</w:t>
            </w:r>
          </w:p>
        </w:tc>
        <w:tc>
          <w:tcPr>
            <w:tcW w:w="1702" w:type="dxa"/>
            <w:tcBorders>
              <w:top w:val="single" w:sz="4" w:space="0" w:color="auto"/>
              <w:left w:val="single" w:sz="4" w:space="0" w:color="auto"/>
              <w:bottom w:val="single" w:sz="4" w:space="0" w:color="auto"/>
              <w:right w:val="single" w:sz="8" w:space="0" w:color="000000"/>
            </w:tcBorders>
            <w:vAlign w:val="bottom"/>
          </w:tcPr>
          <w:p w14:paraId="4D4E5C6D"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55,000</w:t>
            </w:r>
          </w:p>
        </w:tc>
      </w:tr>
      <w:tr w:rsidR="00537B46" w14:paraId="77E24B34" w14:textId="77777777" w:rsidTr="00D5557E">
        <w:trPr>
          <w:trHeight w:val="492"/>
        </w:trPr>
        <w:tc>
          <w:tcPr>
            <w:tcW w:w="1835" w:type="dxa"/>
            <w:tcBorders>
              <w:top w:val="single" w:sz="4" w:space="0" w:color="auto"/>
              <w:left w:val="single" w:sz="8" w:space="0" w:color="000000"/>
              <w:bottom w:val="single" w:sz="4" w:space="0" w:color="auto"/>
              <w:right w:val="single" w:sz="4" w:space="0" w:color="auto"/>
            </w:tcBorders>
            <w:vAlign w:val="bottom"/>
            <w:hideMark/>
          </w:tcPr>
          <w:p w14:paraId="7C0113E3"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Kootenai Complex  </w:t>
            </w:r>
          </w:p>
        </w:tc>
        <w:tc>
          <w:tcPr>
            <w:tcW w:w="945" w:type="dxa"/>
            <w:tcBorders>
              <w:top w:val="single" w:sz="4" w:space="0" w:color="auto"/>
              <w:left w:val="single" w:sz="4" w:space="0" w:color="auto"/>
              <w:bottom w:val="single" w:sz="4" w:space="0" w:color="auto"/>
              <w:right w:val="single" w:sz="4" w:space="0" w:color="auto"/>
            </w:tcBorders>
            <w:vAlign w:val="bottom"/>
            <w:hideMark/>
          </w:tcPr>
          <w:p w14:paraId="5064F1A9"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MT</w:t>
            </w:r>
          </w:p>
        </w:tc>
        <w:tc>
          <w:tcPr>
            <w:tcW w:w="1071" w:type="dxa"/>
            <w:tcBorders>
              <w:top w:val="single" w:sz="4" w:space="0" w:color="auto"/>
              <w:left w:val="single" w:sz="4" w:space="0" w:color="auto"/>
              <w:bottom w:val="single" w:sz="4" w:space="0" w:color="auto"/>
              <w:right w:val="single" w:sz="8" w:space="0" w:color="000000"/>
            </w:tcBorders>
            <w:vAlign w:val="bottom"/>
            <w:hideMark/>
          </w:tcPr>
          <w:p w14:paraId="4B97C685" w14:textId="77777777" w:rsidR="00537B46" w:rsidRPr="00973CB1" w:rsidRDefault="00537B46" w:rsidP="00A11787">
            <w:pPr>
              <w:rPr>
                <w:rFonts w:ascii="Calibri" w:hAnsi="Calibri" w:cs="Calibri"/>
                <w:sz w:val="20"/>
                <w:szCs w:val="20"/>
              </w:rPr>
            </w:pPr>
            <w:r>
              <w:rPr>
                <w:rFonts w:ascii="Calibri" w:hAnsi="Calibri" w:cs="Calibri"/>
                <w:sz w:val="20"/>
                <w:szCs w:val="20"/>
              </w:rPr>
              <w:t>800,000</w:t>
            </w:r>
          </w:p>
        </w:tc>
        <w:tc>
          <w:tcPr>
            <w:tcW w:w="1380" w:type="dxa"/>
            <w:tcBorders>
              <w:top w:val="single" w:sz="4" w:space="0" w:color="auto"/>
              <w:left w:val="nil"/>
              <w:bottom w:val="single" w:sz="4" w:space="0" w:color="auto"/>
              <w:right w:val="single" w:sz="4" w:space="0" w:color="auto"/>
            </w:tcBorders>
            <w:vAlign w:val="bottom"/>
            <w:hideMark/>
          </w:tcPr>
          <w:p w14:paraId="18A7CC43"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$3.6</w:t>
            </w:r>
          </w:p>
        </w:tc>
        <w:tc>
          <w:tcPr>
            <w:tcW w:w="1997" w:type="dxa"/>
            <w:tcBorders>
              <w:top w:val="single" w:sz="4" w:space="0" w:color="auto"/>
              <w:left w:val="nil"/>
              <w:bottom w:val="single" w:sz="4" w:space="0" w:color="auto"/>
              <w:right w:val="single" w:sz="4" w:space="0" w:color="auto"/>
            </w:tcBorders>
            <w:noWrap/>
            <w:vAlign w:val="bottom"/>
            <w:hideMark/>
          </w:tcPr>
          <w:p w14:paraId="7853E80D" w14:textId="77777777" w:rsidR="00537B46" w:rsidRPr="00973CB1" w:rsidRDefault="00537B46" w:rsidP="00A11787">
            <w:pPr>
              <w:jc w:val="right"/>
              <w:rPr>
                <w:rFonts w:ascii="WordVisi_MSFontService" w:hAnsi="WordVisi_MSFontService" w:cs="Calibri"/>
                <w:color w:val="000000"/>
                <w:sz w:val="20"/>
                <w:szCs w:val="20"/>
              </w:rPr>
            </w:pPr>
            <w:r w:rsidRPr="00973CB1">
              <w:rPr>
                <w:rFonts w:ascii="WordVisi_MSFontService" w:hAnsi="WordVisi_MSFontService" w:cs="Calibri"/>
                <w:color w:val="000000"/>
                <w:sz w:val="20"/>
                <w:szCs w:val="20"/>
              </w:rPr>
              <w:t>9</w:t>
            </w:r>
            <w:r>
              <w:rPr>
                <w:rFonts w:ascii="WordVisi_MSFontService" w:hAnsi="WordVisi_MSFontService" w:cs="Calibri"/>
                <w:color w:val="000000"/>
                <w:sz w:val="20"/>
                <w:szCs w:val="20"/>
              </w:rPr>
              <w:t>00/47</w:t>
            </w:r>
          </w:p>
        </w:tc>
        <w:tc>
          <w:tcPr>
            <w:tcW w:w="1305" w:type="dxa"/>
            <w:tcBorders>
              <w:top w:val="single" w:sz="4" w:space="0" w:color="auto"/>
              <w:left w:val="single" w:sz="4" w:space="0" w:color="auto"/>
              <w:bottom w:val="single" w:sz="4" w:space="0" w:color="auto"/>
              <w:right w:val="single" w:sz="4" w:space="0" w:color="auto"/>
            </w:tcBorders>
            <w:vAlign w:val="bottom"/>
            <w:hideMark/>
          </w:tcPr>
          <w:p w14:paraId="45FA2007"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$19.3</w:t>
            </w:r>
          </w:p>
        </w:tc>
        <w:tc>
          <w:tcPr>
            <w:tcW w:w="1702" w:type="dxa"/>
            <w:tcBorders>
              <w:top w:val="single" w:sz="4" w:space="0" w:color="auto"/>
              <w:left w:val="single" w:sz="4" w:space="0" w:color="auto"/>
              <w:bottom w:val="single" w:sz="4" w:space="0" w:color="auto"/>
              <w:right w:val="single" w:sz="8" w:space="0" w:color="000000"/>
            </w:tcBorders>
            <w:vAlign w:val="bottom"/>
            <w:hideMark/>
          </w:tcPr>
          <w:p w14:paraId="27AB7633"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7,2</w:t>
            </w:r>
            <w:r>
              <w:rPr>
                <w:rFonts w:ascii="Calibri" w:hAnsi="Calibri" w:cs="Calibri"/>
                <w:sz w:val="20"/>
                <w:szCs w:val="20"/>
              </w:rPr>
              <w:t>00</w:t>
            </w:r>
          </w:p>
        </w:tc>
      </w:tr>
      <w:tr w:rsidR="00537B46" w14:paraId="00023BDE" w14:textId="77777777" w:rsidTr="00D5557E">
        <w:trPr>
          <w:trHeight w:val="285"/>
        </w:trPr>
        <w:tc>
          <w:tcPr>
            <w:tcW w:w="1835" w:type="dxa"/>
            <w:tcBorders>
              <w:top w:val="single" w:sz="4" w:space="0" w:color="auto"/>
              <w:left w:val="single" w:sz="8" w:space="0" w:color="000000"/>
              <w:bottom w:val="single" w:sz="4" w:space="0" w:color="auto"/>
              <w:right w:val="single" w:sz="4" w:space="0" w:color="auto"/>
            </w:tcBorders>
            <w:shd w:val="clear" w:color="000000" w:fill="E2EFD9"/>
            <w:vAlign w:val="bottom"/>
          </w:tcPr>
          <w:p w14:paraId="3F6C1170"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Enchanted Circle </w:t>
            </w:r>
          </w:p>
        </w:tc>
        <w:tc>
          <w:tcPr>
            <w:tcW w:w="945" w:type="dxa"/>
            <w:tcBorders>
              <w:top w:val="single" w:sz="4" w:space="0" w:color="auto"/>
              <w:left w:val="single" w:sz="4" w:space="0" w:color="auto"/>
              <w:bottom w:val="single" w:sz="4" w:space="0" w:color="auto"/>
              <w:right w:val="single" w:sz="4" w:space="0" w:color="auto"/>
            </w:tcBorders>
            <w:shd w:val="clear" w:color="000000" w:fill="E2EFD9"/>
            <w:vAlign w:val="bottom"/>
          </w:tcPr>
          <w:p w14:paraId="2FE5BFCB"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NM</w:t>
            </w:r>
          </w:p>
        </w:tc>
        <w:tc>
          <w:tcPr>
            <w:tcW w:w="1071" w:type="dxa"/>
            <w:tcBorders>
              <w:top w:val="single" w:sz="4" w:space="0" w:color="auto"/>
              <w:left w:val="single" w:sz="4" w:space="0" w:color="auto"/>
              <w:bottom w:val="single" w:sz="4" w:space="0" w:color="auto"/>
              <w:right w:val="single" w:sz="8" w:space="0" w:color="000000"/>
            </w:tcBorders>
            <w:shd w:val="clear" w:color="000000" w:fill="E2EFD9"/>
            <w:vAlign w:val="bottom"/>
          </w:tcPr>
          <w:p w14:paraId="1BFB9AE0"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1,</w:t>
            </w:r>
            <w:r>
              <w:rPr>
                <w:rFonts w:ascii="Calibri" w:hAnsi="Calibri" w:cs="Calibri"/>
                <w:sz w:val="20"/>
                <w:szCs w:val="20"/>
              </w:rPr>
              <w:t>500,000</w:t>
            </w:r>
            <w:r w:rsidRPr="00973CB1">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shd w:val="clear" w:color="000000" w:fill="E2EFD9"/>
            <w:vAlign w:val="bottom"/>
          </w:tcPr>
          <w:p w14:paraId="1E714BD5"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$6.6</w:t>
            </w:r>
          </w:p>
        </w:tc>
        <w:tc>
          <w:tcPr>
            <w:tcW w:w="1997" w:type="dxa"/>
            <w:tcBorders>
              <w:top w:val="single" w:sz="4" w:space="0" w:color="auto"/>
              <w:left w:val="single" w:sz="4" w:space="0" w:color="auto"/>
              <w:bottom w:val="single" w:sz="4" w:space="0" w:color="auto"/>
              <w:right w:val="nil"/>
            </w:tcBorders>
            <w:shd w:val="clear" w:color="000000" w:fill="E2EFD9"/>
            <w:vAlign w:val="bottom"/>
          </w:tcPr>
          <w:p w14:paraId="7B76F6A7" w14:textId="77777777" w:rsidR="00537B46" w:rsidRPr="00973CB1" w:rsidRDefault="00537B46" w:rsidP="00A11787">
            <w:pPr>
              <w:jc w:val="right"/>
              <w:rPr>
                <w:rFonts w:ascii="Calibri" w:hAnsi="Calibri" w:cs="Calibri"/>
                <w:sz w:val="20"/>
                <w:szCs w:val="20"/>
              </w:rPr>
            </w:pPr>
            <w:r>
              <w:rPr>
                <w:rFonts w:ascii="Calibri" w:hAnsi="Calibri" w:cs="Calibri"/>
                <w:sz w:val="20"/>
                <w:szCs w:val="20"/>
              </w:rPr>
              <w:t>9,000/1</w:t>
            </w:r>
          </w:p>
        </w:tc>
        <w:tc>
          <w:tcPr>
            <w:tcW w:w="1305" w:type="dxa"/>
            <w:tcBorders>
              <w:top w:val="single" w:sz="4" w:space="0" w:color="auto"/>
              <w:left w:val="single" w:sz="8" w:space="0" w:color="000000"/>
              <w:bottom w:val="single" w:sz="4" w:space="0" w:color="auto"/>
              <w:right w:val="single" w:sz="4" w:space="0" w:color="auto"/>
            </w:tcBorders>
            <w:shd w:val="clear" w:color="000000" w:fill="E2EFD9"/>
            <w:vAlign w:val="bottom"/>
          </w:tcPr>
          <w:p w14:paraId="1DE1616D"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$11.3</w:t>
            </w:r>
          </w:p>
        </w:tc>
        <w:tc>
          <w:tcPr>
            <w:tcW w:w="1702" w:type="dxa"/>
            <w:tcBorders>
              <w:top w:val="single" w:sz="4" w:space="0" w:color="auto"/>
              <w:left w:val="single" w:sz="4" w:space="0" w:color="auto"/>
              <w:bottom w:val="single" w:sz="4" w:space="0" w:color="auto"/>
              <w:right w:val="single" w:sz="8" w:space="0" w:color="000000"/>
            </w:tcBorders>
            <w:shd w:val="clear" w:color="000000" w:fill="E2EFD9"/>
            <w:vAlign w:val="bottom"/>
          </w:tcPr>
          <w:p w14:paraId="6A6356B5"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32,</w:t>
            </w:r>
            <w:r>
              <w:rPr>
                <w:rFonts w:ascii="Calibri" w:hAnsi="Calibri" w:cs="Calibri"/>
                <w:sz w:val="20"/>
                <w:szCs w:val="20"/>
              </w:rPr>
              <w:t>500</w:t>
            </w:r>
          </w:p>
        </w:tc>
      </w:tr>
      <w:tr w:rsidR="00537B46" w14:paraId="1985D593" w14:textId="77777777" w:rsidTr="00D5557E">
        <w:trPr>
          <w:trHeight w:val="285"/>
        </w:trPr>
        <w:tc>
          <w:tcPr>
            <w:tcW w:w="1835" w:type="dxa"/>
            <w:tcBorders>
              <w:top w:val="single" w:sz="4" w:space="0" w:color="auto"/>
              <w:left w:val="single" w:sz="8" w:space="0" w:color="000000"/>
              <w:bottom w:val="single" w:sz="4" w:space="0" w:color="auto"/>
              <w:right w:val="single" w:sz="4" w:space="0" w:color="auto"/>
            </w:tcBorders>
            <w:vAlign w:val="bottom"/>
          </w:tcPr>
          <w:p w14:paraId="70BF6C84"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Central Oregon </w:t>
            </w:r>
          </w:p>
        </w:tc>
        <w:tc>
          <w:tcPr>
            <w:tcW w:w="945" w:type="dxa"/>
            <w:tcBorders>
              <w:top w:val="single" w:sz="4" w:space="0" w:color="auto"/>
              <w:left w:val="single" w:sz="4" w:space="0" w:color="auto"/>
              <w:bottom w:val="single" w:sz="4" w:space="0" w:color="auto"/>
              <w:right w:val="single" w:sz="4" w:space="0" w:color="auto"/>
            </w:tcBorders>
            <w:vAlign w:val="bottom"/>
          </w:tcPr>
          <w:p w14:paraId="7AB2FEFC"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OR</w:t>
            </w:r>
          </w:p>
        </w:tc>
        <w:tc>
          <w:tcPr>
            <w:tcW w:w="1071" w:type="dxa"/>
            <w:tcBorders>
              <w:top w:val="single" w:sz="4" w:space="0" w:color="auto"/>
              <w:left w:val="single" w:sz="4" w:space="0" w:color="auto"/>
              <w:bottom w:val="single" w:sz="4" w:space="0" w:color="auto"/>
              <w:right w:val="single" w:sz="8" w:space="0" w:color="000000"/>
            </w:tcBorders>
            <w:vAlign w:val="bottom"/>
          </w:tcPr>
          <w:p w14:paraId="3FECFB10" w14:textId="77777777" w:rsidR="00537B46" w:rsidRPr="00973CB1" w:rsidRDefault="00537B46" w:rsidP="00A11787">
            <w:pPr>
              <w:rPr>
                <w:rFonts w:ascii="Calibri" w:hAnsi="Calibri" w:cs="Calibri"/>
                <w:sz w:val="20"/>
                <w:szCs w:val="20"/>
              </w:rPr>
            </w:pPr>
            <w:r w:rsidRPr="00973CB1">
              <w:rPr>
                <w:rFonts w:ascii="Calibri" w:hAnsi="Calibri" w:cs="Calibri"/>
                <w:color w:val="000000"/>
                <w:sz w:val="20"/>
                <w:szCs w:val="20"/>
              </w:rPr>
              <w:t>2,6</w:t>
            </w:r>
            <w:r>
              <w:rPr>
                <w:rFonts w:ascii="Calibri" w:hAnsi="Calibri" w:cs="Calibri"/>
                <w:color w:val="000000"/>
                <w:sz w:val="20"/>
                <w:szCs w:val="20"/>
              </w:rPr>
              <w:t>00,000</w:t>
            </w:r>
          </w:p>
        </w:tc>
        <w:tc>
          <w:tcPr>
            <w:tcW w:w="1380" w:type="dxa"/>
            <w:tcBorders>
              <w:top w:val="single" w:sz="4" w:space="0" w:color="auto"/>
              <w:left w:val="nil"/>
              <w:bottom w:val="single" w:sz="4" w:space="0" w:color="auto"/>
              <w:right w:val="single" w:sz="4" w:space="0" w:color="auto"/>
            </w:tcBorders>
            <w:vAlign w:val="bottom"/>
          </w:tcPr>
          <w:p w14:paraId="016875D9"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w:t>
            </w:r>
            <w:r>
              <w:rPr>
                <w:rFonts w:ascii="Calibri" w:hAnsi="Calibri" w:cs="Calibri"/>
                <w:color w:val="000000"/>
                <w:sz w:val="20"/>
                <w:szCs w:val="20"/>
              </w:rPr>
              <w:t>4</w:t>
            </w:r>
            <w:r w:rsidRPr="00973CB1">
              <w:rPr>
                <w:rFonts w:ascii="Calibri" w:hAnsi="Calibri" w:cs="Calibri"/>
                <w:color w:val="000000"/>
                <w:sz w:val="20"/>
                <w:szCs w:val="20"/>
              </w:rPr>
              <w:t>.5</w:t>
            </w:r>
          </w:p>
        </w:tc>
        <w:tc>
          <w:tcPr>
            <w:tcW w:w="1997" w:type="dxa"/>
            <w:tcBorders>
              <w:top w:val="single" w:sz="4" w:space="0" w:color="auto"/>
              <w:left w:val="single" w:sz="4" w:space="0" w:color="auto"/>
              <w:bottom w:val="single" w:sz="4" w:space="0" w:color="auto"/>
              <w:right w:val="nil"/>
            </w:tcBorders>
            <w:vAlign w:val="bottom"/>
          </w:tcPr>
          <w:p w14:paraId="1F7DC1ED"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5,000</w:t>
            </w:r>
            <w:r>
              <w:rPr>
                <w:rFonts w:ascii="Calibri" w:hAnsi="Calibri" w:cs="Calibri"/>
                <w:color w:val="000000"/>
                <w:sz w:val="20"/>
                <w:szCs w:val="20"/>
              </w:rPr>
              <w:t>/-</w:t>
            </w:r>
          </w:p>
        </w:tc>
        <w:tc>
          <w:tcPr>
            <w:tcW w:w="1305" w:type="dxa"/>
            <w:tcBorders>
              <w:top w:val="single" w:sz="4" w:space="0" w:color="auto"/>
              <w:left w:val="single" w:sz="8" w:space="0" w:color="000000"/>
              <w:bottom w:val="single" w:sz="4" w:space="0" w:color="auto"/>
              <w:right w:val="single" w:sz="4" w:space="0" w:color="auto"/>
            </w:tcBorders>
            <w:vAlign w:val="bottom"/>
          </w:tcPr>
          <w:p w14:paraId="36856E80" w14:textId="77777777" w:rsidR="00537B46" w:rsidRPr="00973CB1" w:rsidRDefault="00537B46" w:rsidP="00A11787">
            <w:pPr>
              <w:jc w:val="right"/>
              <w:rPr>
                <w:rFonts w:ascii="Calibri" w:hAnsi="Calibri" w:cs="Calibri"/>
                <w:sz w:val="20"/>
                <w:szCs w:val="20"/>
              </w:rPr>
            </w:pPr>
            <w:r w:rsidRPr="00973CB1">
              <w:rPr>
                <w:rFonts w:ascii="Calibri" w:hAnsi="Calibri" w:cs="Calibri"/>
                <w:color w:val="000000"/>
                <w:sz w:val="20"/>
                <w:szCs w:val="20"/>
              </w:rPr>
              <w:t>$</w:t>
            </w:r>
            <w:r>
              <w:rPr>
                <w:rFonts w:ascii="Calibri" w:hAnsi="Calibri" w:cs="Calibri"/>
                <w:color w:val="000000"/>
                <w:sz w:val="20"/>
                <w:szCs w:val="20"/>
              </w:rPr>
              <w:t>43.1</w:t>
            </w:r>
          </w:p>
        </w:tc>
        <w:tc>
          <w:tcPr>
            <w:tcW w:w="1702" w:type="dxa"/>
            <w:tcBorders>
              <w:top w:val="single" w:sz="4" w:space="0" w:color="auto"/>
              <w:left w:val="single" w:sz="4" w:space="0" w:color="auto"/>
              <w:bottom w:val="single" w:sz="4" w:space="0" w:color="auto"/>
              <w:right w:val="single" w:sz="8" w:space="0" w:color="000000"/>
            </w:tcBorders>
            <w:vAlign w:val="bottom"/>
          </w:tcPr>
          <w:p w14:paraId="37ECFBD4" w14:textId="77777777" w:rsidR="00537B46" w:rsidRPr="00973CB1" w:rsidRDefault="00537B46" w:rsidP="00A11787">
            <w:pPr>
              <w:jc w:val="right"/>
              <w:rPr>
                <w:rFonts w:ascii="Calibri" w:hAnsi="Calibri" w:cs="Calibri"/>
                <w:sz w:val="20"/>
                <w:szCs w:val="20"/>
              </w:rPr>
            </w:pPr>
            <w:r>
              <w:rPr>
                <w:rFonts w:ascii="Calibri" w:hAnsi="Calibri" w:cs="Calibri"/>
                <w:color w:val="000000"/>
                <w:sz w:val="20"/>
                <w:szCs w:val="20"/>
              </w:rPr>
              <w:t>50,000</w:t>
            </w:r>
          </w:p>
        </w:tc>
      </w:tr>
      <w:tr w:rsidR="00537B46" w14:paraId="44657855" w14:textId="77777777" w:rsidTr="00D5557E">
        <w:trPr>
          <w:trHeight w:val="285"/>
        </w:trPr>
        <w:tc>
          <w:tcPr>
            <w:tcW w:w="1835" w:type="dxa"/>
            <w:tcBorders>
              <w:top w:val="single" w:sz="4" w:space="0" w:color="auto"/>
              <w:left w:val="single" w:sz="8" w:space="0" w:color="000000"/>
              <w:bottom w:val="single" w:sz="4" w:space="0" w:color="auto"/>
              <w:right w:val="single" w:sz="4" w:space="0" w:color="auto"/>
            </w:tcBorders>
            <w:shd w:val="clear" w:color="000000" w:fill="E2EFD9"/>
            <w:vAlign w:val="bottom"/>
          </w:tcPr>
          <w:p w14:paraId="3E5F2EE9" w14:textId="77777777" w:rsidR="00537B46" w:rsidRPr="00973CB1" w:rsidRDefault="00537B46" w:rsidP="00A11787">
            <w:pPr>
              <w:rPr>
                <w:rFonts w:ascii="Calibri" w:hAnsi="Calibri" w:cs="Calibri"/>
                <w:b/>
                <w:bCs/>
                <w:sz w:val="20"/>
                <w:szCs w:val="20"/>
              </w:rPr>
            </w:pPr>
            <w:r w:rsidRPr="00973CB1">
              <w:rPr>
                <w:rFonts w:ascii="Calibri" w:hAnsi="Calibri" w:cs="Calibri"/>
                <w:b/>
                <w:bCs/>
                <w:sz w:val="20"/>
                <w:szCs w:val="20"/>
              </w:rPr>
              <w:t>Central Washington Initiative  </w:t>
            </w:r>
          </w:p>
        </w:tc>
        <w:tc>
          <w:tcPr>
            <w:tcW w:w="945" w:type="dxa"/>
            <w:tcBorders>
              <w:top w:val="single" w:sz="4" w:space="0" w:color="auto"/>
              <w:left w:val="single" w:sz="4" w:space="0" w:color="auto"/>
              <w:bottom w:val="single" w:sz="4" w:space="0" w:color="auto"/>
              <w:right w:val="single" w:sz="4" w:space="0" w:color="auto"/>
            </w:tcBorders>
            <w:shd w:val="clear" w:color="000000" w:fill="E2EFD9"/>
            <w:vAlign w:val="bottom"/>
          </w:tcPr>
          <w:p w14:paraId="6497778F"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WA</w:t>
            </w:r>
          </w:p>
        </w:tc>
        <w:tc>
          <w:tcPr>
            <w:tcW w:w="1071" w:type="dxa"/>
            <w:tcBorders>
              <w:top w:val="single" w:sz="4" w:space="0" w:color="auto"/>
              <w:left w:val="single" w:sz="4" w:space="0" w:color="auto"/>
              <w:bottom w:val="single" w:sz="4" w:space="0" w:color="auto"/>
              <w:right w:val="single" w:sz="8" w:space="0" w:color="000000"/>
            </w:tcBorders>
            <w:shd w:val="clear" w:color="000000" w:fill="E2EFD9"/>
            <w:vAlign w:val="bottom"/>
          </w:tcPr>
          <w:p w14:paraId="21D29DC4" w14:textId="77777777" w:rsidR="00537B46" w:rsidRPr="00973CB1" w:rsidRDefault="00537B46" w:rsidP="00A11787">
            <w:pPr>
              <w:rPr>
                <w:rFonts w:ascii="Calibri" w:hAnsi="Calibri" w:cs="Calibri"/>
                <w:sz w:val="20"/>
                <w:szCs w:val="20"/>
              </w:rPr>
            </w:pPr>
            <w:r w:rsidRPr="00973CB1">
              <w:rPr>
                <w:rFonts w:ascii="Calibri" w:hAnsi="Calibri" w:cs="Calibri"/>
                <w:sz w:val="20"/>
                <w:szCs w:val="20"/>
              </w:rPr>
              <w:t>2,</w:t>
            </w:r>
            <w:r>
              <w:rPr>
                <w:rFonts w:ascii="Calibri" w:hAnsi="Calibri" w:cs="Calibri"/>
                <w:sz w:val="20"/>
                <w:szCs w:val="20"/>
              </w:rPr>
              <w:t>500,000</w:t>
            </w:r>
            <w:r w:rsidRPr="00973CB1">
              <w:rPr>
                <w:rFonts w:ascii="Calibri" w:hAnsi="Calibri" w:cs="Calibri"/>
                <w:sz w:val="20"/>
                <w:szCs w:val="20"/>
              </w:rPr>
              <w:t> </w:t>
            </w:r>
          </w:p>
        </w:tc>
        <w:tc>
          <w:tcPr>
            <w:tcW w:w="1380" w:type="dxa"/>
            <w:tcBorders>
              <w:top w:val="single" w:sz="4" w:space="0" w:color="auto"/>
              <w:left w:val="nil"/>
              <w:bottom w:val="single" w:sz="4" w:space="0" w:color="auto"/>
              <w:right w:val="single" w:sz="4" w:space="0" w:color="auto"/>
            </w:tcBorders>
            <w:shd w:val="clear" w:color="000000" w:fill="E2EFD9"/>
            <w:vAlign w:val="bottom"/>
          </w:tcPr>
          <w:p w14:paraId="27FB2280"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$2</w:t>
            </w:r>
            <w:r>
              <w:rPr>
                <w:rFonts w:ascii="Calibri" w:hAnsi="Calibri" w:cs="Calibri"/>
                <w:sz w:val="20"/>
                <w:szCs w:val="20"/>
              </w:rPr>
              <w:t>4.6</w:t>
            </w:r>
          </w:p>
        </w:tc>
        <w:tc>
          <w:tcPr>
            <w:tcW w:w="1997" w:type="dxa"/>
            <w:tcBorders>
              <w:top w:val="single" w:sz="4" w:space="0" w:color="auto"/>
              <w:left w:val="single" w:sz="4" w:space="0" w:color="auto"/>
              <w:bottom w:val="single" w:sz="4" w:space="0" w:color="auto"/>
              <w:right w:val="nil"/>
            </w:tcBorders>
            <w:shd w:val="clear" w:color="000000" w:fill="E2EFD9"/>
            <w:vAlign w:val="bottom"/>
          </w:tcPr>
          <w:p w14:paraId="6867481D" w14:textId="77777777" w:rsidR="00537B46" w:rsidRPr="00973CB1" w:rsidRDefault="00537B46" w:rsidP="00A11787">
            <w:pPr>
              <w:jc w:val="right"/>
              <w:rPr>
                <w:rFonts w:ascii="Calibri" w:hAnsi="Calibri" w:cs="Calibri"/>
                <w:sz w:val="20"/>
                <w:szCs w:val="20"/>
              </w:rPr>
            </w:pPr>
            <w:r>
              <w:rPr>
                <w:rFonts w:ascii="Calibri" w:hAnsi="Calibri" w:cs="Calibri"/>
                <w:sz w:val="20"/>
                <w:szCs w:val="20"/>
              </w:rPr>
              <w:t>24,000/-</w:t>
            </w:r>
          </w:p>
        </w:tc>
        <w:tc>
          <w:tcPr>
            <w:tcW w:w="1305" w:type="dxa"/>
            <w:tcBorders>
              <w:top w:val="single" w:sz="4" w:space="0" w:color="auto"/>
              <w:left w:val="single" w:sz="8" w:space="0" w:color="000000"/>
              <w:bottom w:val="single" w:sz="4" w:space="0" w:color="auto"/>
              <w:right w:val="single" w:sz="4" w:space="0" w:color="auto"/>
            </w:tcBorders>
            <w:shd w:val="clear" w:color="000000" w:fill="E2EFD9"/>
            <w:vAlign w:val="bottom"/>
          </w:tcPr>
          <w:p w14:paraId="5D46628A" w14:textId="77777777" w:rsidR="00537B46" w:rsidRPr="00973CB1" w:rsidRDefault="00537B46" w:rsidP="00A11787">
            <w:pPr>
              <w:jc w:val="right"/>
              <w:rPr>
                <w:rFonts w:ascii="Calibri" w:hAnsi="Calibri" w:cs="Calibri"/>
                <w:sz w:val="20"/>
                <w:szCs w:val="20"/>
              </w:rPr>
            </w:pPr>
            <w:r w:rsidRPr="00973CB1">
              <w:rPr>
                <w:rFonts w:ascii="Calibri" w:hAnsi="Calibri" w:cs="Calibri"/>
                <w:sz w:val="20"/>
                <w:szCs w:val="20"/>
              </w:rPr>
              <w:t>$102.6</w:t>
            </w:r>
          </w:p>
        </w:tc>
        <w:tc>
          <w:tcPr>
            <w:tcW w:w="1702" w:type="dxa"/>
            <w:tcBorders>
              <w:top w:val="single" w:sz="4" w:space="0" w:color="auto"/>
              <w:left w:val="single" w:sz="4" w:space="0" w:color="auto"/>
              <w:bottom w:val="single" w:sz="4" w:space="0" w:color="auto"/>
              <w:right w:val="single" w:sz="8" w:space="0" w:color="000000"/>
            </w:tcBorders>
            <w:shd w:val="clear" w:color="000000" w:fill="E2EFD9"/>
            <w:vAlign w:val="bottom"/>
          </w:tcPr>
          <w:p w14:paraId="703F3873" w14:textId="77777777" w:rsidR="00537B46" w:rsidRPr="00973CB1" w:rsidRDefault="00537B46" w:rsidP="00A11787">
            <w:pPr>
              <w:jc w:val="right"/>
              <w:rPr>
                <w:rFonts w:ascii="Calibri" w:hAnsi="Calibri" w:cs="Calibri"/>
                <w:sz w:val="20"/>
                <w:szCs w:val="20"/>
              </w:rPr>
            </w:pPr>
            <w:r>
              <w:rPr>
                <w:rFonts w:ascii="Calibri" w:hAnsi="Calibri" w:cs="Calibri"/>
                <w:sz w:val="20"/>
                <w:szCs w:val="20"/>
              </w:rPr>
              <w:t>124,000</w:t>
            </w:r>
          </w:p>
        </w:tc>
      </w:tr>
      <w:tr w:rsidR="00537B46" w14:paraId="7643BBCD" w14:textId="77777777" w:rsidTr="00D5557E">
        <w:trPr>
          <w:trHeight w:val="300"/>
        </w:trPr>
        <w:tc>
          <w:tcPr>
            <w:tcW w:w="1835" w:type="dxa"/>
            <w:tcBorders>
              <w:top w:val="nil"/>
              <w:left w:val="nil"/>
              <w:bottom w:val="nil"/>
              <w:right w:val="nil"/>
            </w:tcBorders>
            <w:noWrap/>
            <w:vAlign w:val="bottom"/>
            <w:hideMark/>
          </w:tcPr>
          <w:p w14:paraId="03C625BB" w14:textId="77777777" w:rsidR="00537B46" w:rsidRPr="00973CB1" w:rsidRDefault="00537B46" w:rsidP="00A11787">
            <w:pPr>
              <w:jc w:val="right"/>
              <w:rPr>
                <w:rFonts w:ascii="Calibri" w:hAnsi="Calibri" w:cs="Calibri"/>
                <w:color w:val="000000"/>
                <w:sz w:val="20"/>
                <w:szCs w:val="20"/>
              </w:rPr>
            </w:pPr>
          </w:p>
        </w:tc>
        <w:tc>
          <w:tcPr>
            <w:tcW w:w="945" w:type="dxa"/>
            <w:tcBorders>
              <w:top w:val="nil"/>
              <w:left w:val="nil"/>
              <w:bottom w:val="nil"/>
              <w:right w:val="nil"/>
            </w:tcBorders>
            <w:noWrap/>
            <w:vAlign w:val="bottom"/>
            <w:hideMark/>
          </w:tcPr>
          <w:p w14:paraId="63A22A08" w14:textId="77777777" w:rsidR="00537B46" w:rsidRPr="00973CB1" w:rsidRDefault="00537B46" w:rsidP="00A11787">
            <w:pPr>
              <w:rPr>
                <w:sz w:val="20"/>
                <w:szCs w:val="20"/>
              </w:rPr>
            </w:pPr>
          </w:p>
        </w:tc>
        <w:tc>
          <w:tcPr>
            <w:tcW w:w="1071" w:type="dxa"/>
            <w:tcBorders>
              <w:top w:val="nil"/>
              <w:left w:val="nil"/>
              <w:bottom w:val="nil"/>
              <w:right w:val="single" w:sz="4" w:space="0" w:color="auto"/>
            </w:tcBorders>
            <w:noWrap/>
            <w:vAlign w:val="bottom"/>
            <w:hideMark/>
          </w:tcPr>
          <w:p w14:paraId="5F337076" w14:textId="77777777" w:rsidR="00537B46" w:rsidRPr="00973CB1" w:rsidRDefault="00537B46" w:rsidP="00A11787">
            <w:pPr>
              <w:rPr>
                <w:rFonts w:ascii="Calibri" w:hAnsi="Calibri" w:cs="Calibri"/>
                <w:b/>
                <w:bCs/>
                <w:color w:val="000000"/>
                <w:sz w:val="20"/>
                <w:szCs w:val="20"/>
              </w:rPr>
            </w:pPr>
            <w:r w:rsidRPr="00973CB1">
              <w:rPr>
                <w:rFonts w:ascii="Calibri" w:hAnsi="Calibri" w:cs="Calibri"/>
                <w:b/>
                <w:bCs/>
                <w:color w:val="000000"/>
                <w:sz w:val="20"/>
                <w:szCs w:val="20"/>
              </w:rPr>
              <w:t>Total</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36E4CDC" w14:textId="77777777" w:rsidR="00537B46" w:rsidRPr="00973CB1" w:rsidRDefault="00537B46" w:rsidP="00A11787">
            <w:pPr>
              <w:jc w:val="right"/>
              <w:rPr>
                <w:rFonts w:ascii="Calibri" w:hAnsi="Calibri" w:cs="Calibri"/>
                <w:b/>
                <w:bCs/>
                <w:color w:val="000000"/>
                <w:sz w:val="20"/>
                <w:szCs w:val="20"/>
              </w:rPr>
            </w:pPr>
            <w:r w:rsidRPr="00973CB1">
              <w:rPr>
                <w:rFonts w:ascii="Calibri" w:hAnsi="Calibri" w:cs="Calibri"/>
                <w:b/>
                <w:bCs/>
                <w:color w:val="000000"/>
                <w:sz w:val="20"/>
                <w:szCs w:val="20"/>
              </w:rPr>
              <w:t>$131.3</w:t>
            </w:r>
          </w:p>
        </w:tc>
        <w:tc>
          <w:tcPr>
            <w:tcW w:w="1997" w:type="dxa"/>
            <w:tcBorders>
              <w:top w:val="single" w:sz="4" w:space="0" w:color="auto"/>
              <w:left w:val="single" w:sz="4" w:space="0" w:color="auto"/>
              <w:bottom w:val="single" w:sz="4" w:space="0" w:color="auto"/>
              <w:right w:val="single" w:sz="4" w:space="0" w:color="auto"/>
            </w:tcBorders>
            <w:noWrap/>
            <w:vAlign w:val="bottom"/>
            <w:hideMark/>
          </w:tcPr>
          <w:p w14:paraId="498786A3" w14:textId="77777777" w:rsidR="00537B46" w:rsidRPr="00973CB1" w:rsidRDefault="00537B46" w:rsidP="00A11787">
            <w:pPr>
              <w:jc w:val="right"/>
              <w:rPr>
                <w:rFonts w:ascii="Calibri" w:hAnsi="Calibri" w:cs="Calibri"/>
                <w:b/>
                <w:bCs/>
                <w:color w:val="000000"/>
                <w:sz w:val="20"/>
                <w:szCs w:val="20"/>
              </w:rPr>
            </w:pPr>
            <w:r>
              <w:rPr>
                <w:rFonts w:ascii="Calibri" w:hAnsi="Calibri" w:cs="Calibri"/>
                <w:b/>
                <w:bCs/>
                <w:color w:val="000000"/>
                <w:sz w:val="20"/>
                <w:szCs w:val="20"/>
              </w:rPr>
              <w:t>208,000/263</w:t>
            </w:r>
          </w:p>
        </w:tc>
        <w:tc>
          <w:tcPr>
            <w:tcW w:w="1305" w:type="dxa"/>
            <w:tcBorders>
              <w:top w:val="single" w:sz="4" w:space="0" w:color="auto"/>
              <w:left w:val="single" w:sz="4" w:space="0" w:color="auto"/>
              <w:bottom w:val="single" w:sz="4" w:space="0" w:color="auto"/>
              <w:right w:val="single" w:sz="4" w:space="0" w:color="auto"/>
            </w:tcBorders>
            <w:noWrap/>
            <w:vAlign w:val="bottom"/>
            <w:hideMark/>
          </w:tcPr>
          <w:p w14:paraId="6F44F893" w14:textId="77777777" w:rsidR="00537B46" w:rsidRPr="00973CB1" w:rsidRDefault="00537B46" w:rsidP="00A11787">
            <w:pPr>
              <w:jc w:val="right"/>
              <w:rPr>
                <w:rFonts w:ascii="Calibri" w:hAnsi="Calibri" w:cs="Calibri"/>
                <w:b/>
                <w:bCs/>
                <w:color w:val="000000"/>
                <w:sz w:val="20"/>
                <w:szCs w:val="20"/>
              </w:rPr>
            </w:pPr>
            <w:r w:rsidRPr="00973CB1">
              <w:rPr>
                <w:rFonts w:ascii="Calibri" w:hAnsi="Calibri" w:cs="Calibri"/>
                <w:b/>
                <w:bCs/>
                <w:color w:val="000000"/>
                <w:sz w:val="20"/>
                <w:szCs w:val="20"/>
              </w:rPr>
              <w:t>$671.0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440105AE" w14:textId="77777777" w:rsidR="00537B46" w:rsidRPr="00973CB1" w:rsidRDefault="00537B46" w:rsidP="00A11787">
            <w:pPr>
              <w:jc w:val="right"/>
              <w:rPr>
                <w:rFonts w:ascii="Calibri" w:hAnsi="Calibri" w:cs="Calibri"/>
                <w:b/>
                <w:bCs/>
                <w:color w:val="000000"/>
                <w:sz w:val="20"/>
                <w:szCs w:val="20"/>
              </w:rPr>
            </w:pPr>
            <w:r>
              <w:rPr>
                <w:rFonts w:ascii="Calibri" w:hAnsi="Calibri" w:cs="Calibri"/>
                <w:b/>
                <w:bCs/>
                <w:color w:val="000000"/>
                <w:sz w:val="20"/>
                <w:szCs w:val="20"/>
              </w:rPr>
              <w:t>742,000</w:t>
            </w:r>
          </w:p>
        </w:tc>
      </w:tr>
    </w:tbl>
    <w:p w14:paraId="2D25E985" w14:textId="1AB6F7A8" w:rsidR="005B2A6F" w:rsidRPr="00827F9B" w:rsidRDefault="005B2A6F" w:rsidP="00827F9B">
      <w:pPr>
        <w:pStyle w:val="NoSpacing"/>
        <w:spacing w:line="276" w:lineRule="auto"/>
        <w:rPr>
          <w:rStyle w:val="normaltextrun"/>
          <w:rFonts w:cstheme="minorHAnsi"/>
          <w:color w:val="000000"/>
          <w:sz w:val="20"/>
          <w:szCs w:val="20"/>
          <w:shd w:val="clear" w:color="auto" w:fill="FFFFFF"/>
        </w:rPr>
      </w:pPr>
    </w:p>
    <w:p w14:paraId="227C58C7" w14:textId="37DE8C6D" w:rsidR="005B2A6F" w:rsidRPr="00827F9B" w:rsidRDefault="005B2A6F" w:rsidP="00827F9B">
      <w:pPr>
        <w:pStyle w:val="NoSpacing"/>
        <w:spacing w:line="276" w:lineRule="auto"/>
        <w:rPr>
          <w:rStyle w:val="eop"/>
          <w:rFonts w:cstheme="minorHAnsi"/>
          <w:color w:val="000000"/>
          <w:shd w:val="clear" w:color="auto" w:fill="FFFFFF"/>
        </w:rPr>
      </w:pPr>
      <w:r w:rsidRPr="00827F9B">
        <w:rPr>
          <w:rStyle w:val="eop"/>
          <w:rFonts w:cstheme="minorHAnsi"/>
          <w:color w:val="000000"/>
          <w:sz w:val="20"/>
          <w:szCs w:val="20"/>
          <w:shd w:val="clear" w:color="auto" w:fill="FFFFFF"/>
        </w:rPr>
        <w:t> </w:t>
      </w:r>
      <w:r w:rsidRPr="00827F9B">
        <w:rPr>
          <w:rStyle w:val="normaltextrun"/>
          <w:rFonts w:cstheme="minorHAnsi"/>
          <w:i/>
          <w:iCs/>
          <w:color w:val="44546A"/>
          <w:sz w:val="18"/>
          <w:szCs w:val="18"/>
          <w:shd w:val="clear" w:color="auto" w:fill="FFFFFF"/>
        </w:rPr>
        <w:t xml:space="preserve">Table </w:t>
      </w:r>
      <w:r w:rsidRPr="00827F9B">
        <w:rPr>
          <w:rStyle w:val="normaltextrun"/>
          <w:rFonts w:cstheme="minorHAnsi"/>
          <w:i/>
          <w:iCs/>
          <w:color w:val="000000"/>
          <w:sz w:val="18"/>
          <w:szCs w:val="18"/>
          <w:shd w:val="clear" w:color="auto" w:fill="E1E3E6"/>
        </w:rPr>
        <w:t>1</w:t>
      </w:r>
      <w:r w:rsidR="003D0087" w:rsidRPr="00827F9B">
        <w:rPr>
          <w:rStyle w:val="normaltextrun"/>
          <w:rFonts w:cstheme="minorHAnsi"/>
          <w:i/>
          <w:iCs/>
          <w:color w:val="000000"/>
          <w:sz w:val="18"/>
          <w:szCs w:val="18"/>
          <w:shd w:val="clear" w:color="auto" w:fill="E1E3E6"/>
        </w:rPr>
        <w:t>.</w:t>
      </w:r>
      <w:r w:rsidRPr="00827F9B">
        <w:rPr>
          <w:rStyle w:val="normaltextrun"/>
          <w:rFonts w:cstheme="minorHAnsi"/>
          <w:i/>
          <w:iCs/>
          <w:color w:val="44546A"/>
          <w:sz w:val="18"/>
          <w:szCs w:val="18"/>
          <w:shd w:val="clear" w:color="auto" w:fill="FFFFFF"/>
        </w:rPr>
        <w:t xml:space="preserve"> Proposed </w:t>
      </w:r>
      <w:r w:rsidR="00430E22" w:rsidRPr="00827F9B">
        <w:rPr>
          <w:rStyle w:val="normaltextrun"/>
          <w:rFonts w:cstheme="minorHAnsi"/>
          <w:i/>
          <w:iCs/>
          <w:color w:val="44546A"/>
          <w:sz w:val="18"/>
          <w:szCs w:val="18"/>
          <w:shd w:val="clear" w:color="auto" w:fill="FFFFFF"/>
        </w:rPr>
        <w:t>Initial Landscape Investments</w:t>
      </w:r>
      <w:r w:rsidR="003D0087" w:rsidRPr="00827F9B">
        <w:rPr>
          <w:rStyle w:val="normaltextrun"/>
          <w:rFonts w:cstheme="minorHAnsi"/>
          <w:i/>
          <w:iCs/>
          <w:color w:val="44546A"/>
          <w:sz w:val="18"/>
          <w:szCs w:val="18"/>
          <w:shd w:val="clear" w:color="auto" w:fill="FFFFFF"/>
        </w:rPr>
        <w:t>.</w:t>
      </w:r>
      <w:r w:rsidRPr="00827F9B">
        <w:rPr>
          <w:rStyle w:val="eop"/>
          <w:rFonts w:cstheme="minorHAnsi"/>
          <w:i/>
          <w:iCs/>
          <w:color w:val="44546A"/>
          <w:sz w:val="18"/>
          <w:szCs w:val="18"/>
          <w:shd w:val="clear" w:color="auto" w:fill="FFFFFF"/>
        </w:rPr>
        <w:t> </w:t>
      </w:r>
      <w:r w:rsidR="00916671" w:rsidRPr="00827F9B">
        <w:rPr>
          <w:rStyle w:val="eop"/>
          <w:rFonts w:cstheme="minorHAnsi"/>
          <w:i/>
          <w:iCs/>
          <w:color w:val="44546A"/>
          <w:sz w:val="18"/>
          <w:szCs w:val="18"/>
          <w:shd w:val="clear" w:color="auto" w:fill="FFFFFF"/>
        </w:rPr>
        <w:t>NOTE: Acreage denotes the size of the landscape, not actual acres to be treated within that landscape.</w:t>
      </w:r>
    </w:p>
    <w:p w14:paraId="17668C62" w14:textId="77777777" w:rsidR="005B2A6F" w:rsidRPr="00827F9B" w:rsidRDefault="005B2A6F" w:rsidP="00827F9B">
      <w:pPr>
        <w:pStyle w:val="NoSpacing"/>
        <w:spacing w:line="276" w:lineRule="auto"/>
        <w:rPr>
          <w:rStyle w:val="eop"/>
          <w:rFonts w:cstheme="minorHAnsi"/>
          <w:i/>
          <w:iCs/>
          <w:color w:val="44546A"/>
          <w:sz w:val="18"/>
          <w:szCs w:val="18"/>
          <w:shd w:val="clear" w:color="auto" w:fill="FFFFFF"/>
        </w:rPr>
      </w:pPr>
    </w:p>
    <w:p w14:paraId="6880D468" w14:textId="3E404DED" w:rsidR="00CC57F8" w:rsidRPr="00006935" w:rsidRDefault="00CC57F8" w:rsidP="00CC57F8">
      <w:pPr>
        <w:pStyle w:val="NoSpacing"/>
        <w:spacing w:line="276" w:lineRule="auto"/>
      </w:pPr>
      <w:r w:rsidRPr="00006935">
        <w:t xml:space="preserve">This summary table represents total size of landscapes, FY22 funding and planned accomplishments as well as total funding and accomplishments for FY22-24.  The landscape size does not represent </w:t>
      </w:r>
      <w:r w:rsidR="00271346">
        <w:t>acres to be treated</w:t>
      </w:r>
      <w:r w:rsidRPr="00006935">
        <w:t>. Strategic treatment objectives focused on reducing approximately 80% of the exposure to structures indicate the need to treat 20-40% of the overall Fireshed.  The overall size of these 10 landscapes is 1</w:t>
      </w:r>
      <w:r w:rsidR="00A551D6">
        <w:t>6</w:t>
      </w:r>
      <w:r w:rsidRPr="00006935">
        <w:t xml:space="preserve"> million acres, of which 7 million acres are high</w:t>
      </w:r>
      <w:r w:rsidR="001B6FC3">
        <w:t>-</w:t>
      </w:r>
      <w:r w:rsidRPr="00006935">
        <w:t xml:space="preserve">risk </w:t>
      </w:r>
      <w:proofErr w:type="spellStart"/>
      <w:r w:rsidR="00A551D6">
        <w:t>f</w:t>
      </w:r>
      <w:r w:rsidRPr="00006935">
        <w:t>iresheds</w:t>
      </w:r>
      <w:proofErr w:type="spellEnd"/>
      <w:r w:rsidRPr="00006935">
        <w:t>. Applying the 20-40% treatment objective would indicate the long term need to treat 1.4 to 2.8 million acres on these landscapes.</w:t>
      </w:r>
    </w:p>
    <w:p w14:paraId="54244705" w14:textId="77777777" w:rsidR="005B2A6F" w:rsidRPr="00827F9B" w:rsidRDefault="005B2A6F" w:rsidP="00827F9B">
      <w:pPr>
        <w:pStyle w:val="paragraph"/>
        <w:spacing w:before="0" w:beforeAutospacing="0" w:after="0" w:afterAutospacing="0" w:line="276" w:lineRule="auto"/>
        <w:ind w:left="2520"/>
        <w:textAlignment w:val="baseline"/>
        <w:rPr>
          <w:rFonts w:asciiTheme="minorHAnsi" w:hAnsiTheme="minorHAnsi" w:cstheme="minorHAnsi"/>
        </w:rPr>
      </w:pPr>
    </w:p>
    <w:p w14:paraId="3F5DC407" w14:textId="6661EBA1" w:rsidR="005B2A6F" w:rsidRPr="00827F9B" w:rsidRDefault="00D410ED" w:rsidP="00827F9B">
      <w:pPr>
        <w:tabs>
          <w:tab w:val="left" w:pos="1333"/>
        </w:tabs>
        <w:spacing w:after="0" w:line="276" w:lineRule="auto"/>
        <w:rPr>
          <w:rFonts w:eastAsia="Times New Roman" w:cstheme="minorHAnsi"/>
          <w:sz w:val="24"/>
          <w:szCs w:val="24"/>
        </w:rPr>
      </w:pPr>
      <w:r>
        <w:rPr>
          <w:rFonts w:eastAsia="Times New Roman" w:cstheme="minorHAnsi"/>
          <w:noProof/>
        </w:rPr>
        <w:lastRenderedPageBreak/>
        <w:drawing>
          <wp:inline distT="0" distB="0" distL="0" distR="0" wp14:anchorId="55997965" wp14:editId="430293D6">
            <wp:extent cx="5943600" cy="7691755"/>
            <wp:effectExtent l="0" t="0" r="0" b="444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B3614FE" w14:textId="77777777" w:rsidR="005B2A6F" w:rsidRPr="00827F9B" w:rsidRDefault="005B2A6F" w:rsidP="00827F9B">
      <w:pPr>
        <w:tabs>
          <w:tab w:val="left" w:pos="1333"/>
        </w:tabs>
        <w:spacing w:after="0" w:line="276" w:lineRule="auto"/>
        <w:rPr>
          <w:rFonts w:eastAsia="Times New Roman" w:cstheme="minorHAnsi"/>
          <w:sz w:val="24"/>
          <w:szCs w:val="24"/>
        </w:rPr>
      </w:pPr>
    </w:p>
    <w:p w14:paraId="530BB085" w14:textId="77777777" w:rsidR="00D410ED" w:rsidRDefault="00D410ED" w:rsidP="00827F9B">
      <w:pPr>
        <w:spacing w:line="276" w:lineRule="auto"/>
        <w:rPr>
          <w:rStyle w:val="normaltextrun"/>
          <w:rFonts w:cstheme="minorHAnsi"/>
          <w:b/>
          <w:bCs/>
          <w:color w:val="000000"/>
          <w:sz w:val="32"/>
          <w:szCs w:val="32"/>
          <w:shd w:val="clear" w:color="auto" w:fill="FFFFFF"/>
        </w:rPr>
      </w:pPr>
    </w:p>
    <w:p w14:paraId="3BFC354F" w14:textId="085DDFD1" w:rsidR="00677FC2" w:rsidRPr="00537B46" w:rsidRDefault="00677FC2" w:rsidP="0084451B">
      <w:pPr>
        <w:pStyle w:val="NoSpacing"/>
        <w:spacing w:line="276" w:lineRule="auto"/>
        <w:rPr>
          <w:rFonts w:cstheme="minorHAnsi"/>
          <w:b/>
          <w:bCs/>
          <w:sz w:val="28"/>
          <w:szCs w:val="28"/>
        </w:rPr>
      </w:pPr>
      <w:r w:rsidRPr="0084451B">
        <w:rPr>
          <w:rFonts w:cstheme="minorHAnsi"/>
          <w:b/>
          <w:bCs/>
          <w:sz w:val="28"/>
          <w:szCs w:val="28"/>
        </w:rPr>
        <w:lastRenderedPageBreak/>
        <w:t>Other Influences and Factors</w:t>
      </w:r>
    </w:p>
    <w:p w14:paraId="43585D66" w14:textId="5D95607F" w:rsidR="00677FC2" w:rsidRDefault="00677FC2" w:rsidP="00677FC2">
      <w:pPr>
        <w:tabs>
          <w:tab w:val="left" w:pos="1333"/>
        </w:tabs>
        <w:spacing w:line="276" w:lineRule="auto"/>
        <w:rPr>
          <w:rStyle w:val="eop"/>
          <w:rFonts w:cstheme="minorHAnsi"/>
          <w:b/>
          <w:bCs/>
          <w:i/>
          <w:iCs/>
          <w:color w:val="000000"/>
          <w:sz w:val="24"/>
          <w:szCs w:val="24"/>
          <w:shd w:val="clear" w:color="auto" w:fill="FFFFFF"/>
        </w:rPr>
      </w:pPr>
      <w:r>
        <w:t xml:space="preserve">Though the selection of initial landscape investments was </w:t>
      </w:r>
      <w:r w:rsidR="00CC57F8">
        <w:t>informed by the goals listed in the introduction above</w:t>
      </w:r>
      <w:r w:rsidR="001B6FC3">
        <w:t xml:space="preserve">, </w:t>
      </w:r>
      <w:r>
        <w:t>the agency did perform some preliminary analyses to determine alignment with current administrative priorities and interest areas.  We recognize that reducing risk can be translated by not only a reduction in fuels, but reduced impacts to critical watersheds, socially vulnerable communities, and carbon stocks.</w:t>
      </w:r>
    </w:p>
    <w:p w14:paraId="0C52317C" w14:textId="3003DC63" w:rsidR="00305505" w:rsidRPr="00827F9B" w:rsidRDefault="005B2A6F" w:rsidP="00827F9B">
      <w:pPr>
        <w:tabs>
          <w:tab w:val="left" w:pos="1333"/>
        </w:tabs>
        <w:spacing w:line="276" w:lineRule="auto"/>
        <w:rPr>
          <w:rStyle w:val="eop"/>
          <w:rFonts w:cstheme="minorHAnsi"/>
          <w:b/>
          <w:bCs/>
          <w:i/>
          <w:iCs/>
          <w:color w:val="000000"/>
          <w:sz w:val="24"/>
          <w:szCs w:val="24"/>
          <w:shd w:val="clear" w:color="auto" w:fill="FFFFFF"/>
        </w:rPr>
      </w:pPr>
      <w:r w:rsidRPr="00827F9B">
        <w:rPr>
          <w:rStyle w:val="eop"/>
          <w:rFonts w:cstheme="minorHAnsi"/>
          <w:b/>
          <w:bCs/>
          <w:i/>
          <w:iCs/>
          <w:color w:val="000000"/>
          <w:sz w:val="24"/>
          <w:szCs w:val="24"/>
          <w:shd w:val="clear" w:color="auto" w:fill="FFFFFF"/>
        </w:rPr>
        <w:t xml:space="preserve">Overlap </w:t>
      </w:r>
      <w:r w:rsidR="00B942A8" w:rsidRPr="00827F9B">
        <w:rPr>
          <w:rStyle w:val="eop"/>
          <w:rFonts w:cstheme="minorHAnsi"/>
          <w:b/>
          <w:bCs/>
          <w:i/>
          <w:iCs/>
          <w:color w:val="000000"/>
          <w:sz w:val="24"/>
          <w:szCs w:val="24"/>
          <w:shd w:val="clear" w:color="auto" w:fill="FFFFFF"/>
        </w:rPr>
        <w:t xml:space="preserve">With </w:t>
      </w:r>
      <w:r w:rsidRPr="00827F9B">
        <w:rPr>
          <w:rStyle w:val="eop"/>
          <w:rFonts w:cstheme="minorHAnsi"/>
          <w:b/>
          <w:bCs/>
          <w:i/>
          <w:iCs/>
          <w:color w:val="000000"/>
          <w:sz w:val="24"/>
          <w:szCs w:val="24"/>
          <w:shd w:val="clear" w:color="auto" w:fill="FFFFFF"/>
        </w:rPr>
        <w:t>Critical Watersheds</w:t>
      </w:r>
    </w:p>
    <w:p w14:paraId="51047833" w14:textId="77777777" w:rsidR="001B6FC3" w:rsidRPr="001B6FC3" w:rsidRDefault="001B6FC3" w:rsidP="00827F9B">
      <w:pPr>
        <w:spacing w:after="0" w:line="276" w:lineRule="auto"/>
        <w:textAlignment w:val="center"/>
      </w:pPr>
      <w:r w:rsidRPr="001B6FC3">
        <w:t>Stand-replacing events can have significant postfire impacts to source water supplies over time. Healthy vegetation in forested headwaters is critical to potable water quality and quantity, as denuded landscapes can expedite sedimentation and ash deposits into reservoirs as well as decrease filtration capacity essential for recharge. The agency has characterized potential wildfire exposure to public source watersheds using national Environmental Protection Agency source water protection area data to identify where public water systems may be most vulnerable.</w:t>
      </w:r>
    </w:p>
    <w:p w14:paraId="707A01DD" w14:textId="77777777" w:rsidR="001B6FC3" w:rsidRDefault="001B6FC3" w:rsidP="00827F9B">
      <w:pPr>
        <w:spacing w:after="0" w:line="276" w:lineRule="auto"/>
        <w:textAlignment w:val="center"/>
        <w:rPr>
          <w:rFonts w:cs="Minion Pro"/>
          <w:color w:val="211D1E"/>
          <w:sz w:val="20"/>
          <w:szCs w:val="20"/>
        </w:rPr>
      </w:pPr>
    </w:p>
    <w:p w14:paraId="7AF5BCEC" w14:textId="33842B33" w:rsidR="005B2A6F" w:rsidRPr="00827F9B" w:rsidRDefault="005B2A6F" w:rsidP="00827F9B">
      <w:pPr>
        <w:spacing w:after="0" w:line="276" w:lineRule="auto"/>
        <w:textAlignment w:val="center"/>
        <w:rPr>
          <w:rFonts w:eastAsia="Times New Roman" w:cstheme="minorHAnsi"/>
          <w:b/>
          <w:bCs/>
          <w:i/>
          <w:iCs/>
          <w:color w:val="000000"/>
          <w:sz w:val="24"/>
          <w:szCs w:val="24"/>
        </w:rPr>
      </w:pPr>
      <w:r w:rsidRPr="00827F9B">
        <w:rPr>
          <w:rFonts w:eastAsia="Times New Roman" w:cstheme="minorHAnsi"/>
          <w:b/>
          <w:bCs/>
          <w:i/>
          <w:iCs/>
          <w:color w:val="000000"/>
          <w:sz w:val="24"/>
          <w:szCs w:val="24"/>
        </w:rPr>
        <w:t xml:space="preserve">Social </w:t>
      </w:r>
      <w:r w:rsidR="00BB0060">
        <w:rPr>
          <w:rFonts w:eastAsia="Times New Roman" w:cstheme="minorHAnsi"/>
          <w:b/>
          <w:bCs/>
          <w:i/>
          <w:iCs/>
          <w:color w:val="000000"/>
          <w:sz w:val="24"/>
          <w:szCs w:val="24"/>
        </w:rPr>
        <w:t xml:space="preserve">Vulnerability </w:t>
      </w:r>
      <w:r w:rsidR="00BB0060" w:rsidRPr="00827F9B">
        <w:rPr>
          <w:rFonts w:eastAsia="Times New Roman" w:cstheme="minorHAnsi"/>
          <w:b/>
          <w:bCs/>
          <w:i/>
          <w:iCs/>
          <w:color w:val="000000"/>
          <w:sz w:val="24"/>
          <w:szCs w:val="24"/>
        </w:rPr>
        <w:t xml:space="preserve"> </w:t>
      </w:r>
      <w:r w:rsidRPr="00827F9B">
        <w:rPr>
          <w:rFonts w:eastAsia="Times New Roman" w:cstheme="minorHAnsi"/>
          <w:b/>
          <w:bCs/>
          <w:i/>
          <w:iCs/>
          <w:color w:val="000000"/>
          <w:sz w:val="24"/>
          <w:szCs w:val="24"/>
        </w:rPr>
        <w:t xml:space="preserve">Connections </w:t>
      </w:r>
    </w:p>
    <w:p w14:paraId="405D951B" w14:textId="26F00506" w:rsidR="005B2A6F" w:rsidRPr="00827F9B" w:rsidRDefault="00695C87" w:rsidP="00827F9B">
      <w:pPr>
        <w:spacing w:line="276" w:lineRule="auto"/>
        <w:textAlignment w:val="center"/>
        <w:rPr>
          <w:rFonts w:eastAsia="Times New Roman" w:cstheme="minorHAnsi"/>
          <w:b/>
          <w:bCs/>
          <w:i/>
          <w:iCs/>
          <w:color w:val="000000"/>
          <w:sz w:val="24"/>
          <w:szCs w:val="24"/>
        </w:rPr>
      </w:pPr>
      <w:r w:rsidRPr="00827F9B">
        <w:rPr>
          <w:rFonts w:cstheme="minorHAnsi"/>
        </w:rPr>
        <w:t xml:space="preserve">The Forest </w:t>
      </w:r>
      <w:r w:rsidR="00B942A8" w:rsidRPr="00827F9B">
        <w:rPr>
          <w:rFonts w:cstheme="minorHAnsi"/>
        </w:rPr>
        <w:t xml:space="preserve">Service </w:t>
      </w:r>
      <w:r w:rsidR="00BB0060">
        <w:rPr>
          <w:rFonts w:cstheme="minorHAnsi"/>
        </w:rPr>
        <w:t xml:space="preserve">also </w:t>
      </w:r>
      <w:r w:rsidR="005B2A6F" w:rsidRPr="00827F9B">
        <w:rPr>
          <w:rFonts w:cstheme="minorHAnsi"/>
        </w:rPr>
        <w:t xml:space="preserve">conducted a preliminary and rapid analysis of social vulnerability associated with the </w:t>
      </w:r>
      <w:r w:rsidR="001654E6">
        <w:rPr>
          <w:rFonts w:cstheme="minorHAnsi"/>
        </w:rPr>
        <w:t>ten</w:t>
      </w:r>
      <w:r w:rsidR="005B2A6F" w:rsidRPr="00827F9B">
        <w:rPr>
          <w:rFonts w:cstheme="minorHAnsi"/>
        </w:rPr>
        <w:t xml:space="preserve"> selected landscapes using the Center for Disease Control’s Social Vulnerability Index (SVI).  </w:t>
      </w:r>
    </w:p>
    <w:p w14:paraId="5863B916" w14:textId="77777777" w:rsidR="001B6FC3" w:rsidRPr="0084451B" w:rsidRDefault="001B6FC3" w:rsidP="00827F9B">
      <w:pPr>
        <w:spacing w:line="276" w:lineRule="auto"/>
        <w:rPr>
          <w:rFonts w:cstheme="minorHAnsi"/>
        </w:rPr>
      </w:pPr>
      <w:r w:rsidRPr="0084451B">
        <w:rPr>
          <w:rFonts w:cstheme="minorHAnsi"/>
        </w:rPr>
        <w:t xml:space="preserve">Several factors, including poverty, lack of access to transportation, and crowded housing may weaken a community’s ability to prevent human suffering and financial loss in a disaster. These factors are known as social vulnerability and are what the SVI index measures. </w:t>
      </w:r>
    </w:p>
    <w:p w14:paraId="591B010C" w14:textId="77777777" w:rsidR="0084451B" w:rsidRPr="0084451B" w:rsidRDefault="0084451B" w:rsidP="0084451B">
      <w:pPr>
        <w:spacing w:line="276" w:lineRule="auto"/>
        <w:rPr>
          <w:rFonts w:cstheme="minorHAnsi"/>
        </w:rPr>
      </w:pPr>
      <w:r w:rsidRPr="0084451B">
        <w:rPr>
          <w:rFonts w:cstheme="minorHAnsi"/>
        </w:rPr>
        <w:t>For this analysis, the agency examined the vulnerability of populations at the county-level within each of the initial landscapes proposed for FY 2022 BIL funding under the Wildfire Crisis Strategy. The exercise is an initial effort to demonstrate how demographic information might be used to promote equity considerations in future decisions processes and management activities and will be used to inform opportunities as a part of the implementation of FY 2022 investments.</w:t>
      </w:r>
    </w:p>
    <w:p w14:paraId="4556DB05" w14:textId="77777777" w:rsidR="0084451B" w:rsidRDefault="0084451B" w:rsidP="00827F9B">
      <w:pPr>
        <w:pStyle w:val="paragraph"/>
        <w:spacing w:before="0" w:beforeAutospacing="0" w:after="0" w:afterAutospacing="0" w:line="276" w:lineRule="auto"/>
        <w:textAlignment w:val="baseline"/>
        <w:rPr>
          <w:rFonts w:cs="Minion Pro"/>
          <w:color w:val="211D1E"/>
          <w:sz w:val="20"/>
          <w:szCs w:val="20"/>
        </w:rPr>
      </w:pPr>
    </w:p>
    <w:p w14:paraId="45ABF968" w14:textId="7C042044" w:rsidR="005B2A6F" w:rsidRPr="00827F9B" w:rsidRDefault="005B2A6F" w:rsidP="00827F9B">
      <w:pPr>
        <w:pStyle w:val="paragraph"/>
        <w:spacing w:before="0" w:beforeAutospacing="0" w:after="0" w:afterAutospacing="0" w:line="276" w:lineRule="auto"/>
        <w:textAlignment w:val="baseline"/>
        <w:rPr>
          <w:rFonts w:asciiTheme="minorHAnsi" w:hAnsiTheme="minorHAnsi" w:cstheme="minorHAnsi"/>
          <w:b/>
          <w:bCs/>
          <w:sz w:val="28"/>
          <w:szCs w:val="28"/>
        </w:rPr>
      </w:pPr>
      <w:r w:rsidRPr="00827F9B">
        <w:rPr>
          <w:rStyle w:val="normaltextrun"/>
          <w:rFonts w:asciiTheme="minorHAnsi" w:hAnsiTheme="minorHAnsi" w:cstheme="minorHAnsi"/>
          <w:b/>
          <w:bCs/>
          <w:i/>
          <w:iCs/>
          <w:color w:val="000000" w:themeColor="text1"/>
        </w:rPr>
        <w:t>Carbon Sequestration</w:t>
      </w:r>
    </w:p>
    <w:p w14:paraId="718BE5E4" w14:textId="0CA012CC" w:rsidR="005B2A6F" w:rsidRPr="00827F9B" w:rsidRDefault="005B2A6F" w:rsidP="00827F9B">
      <w:pPr>
        <w:spacing w:line="276" w:lineRule="auto"/>
        <w:rPr>
          <w:rStyle w:val="normaltextrun"/>
          <w:rFonts w:cstheme="minorHAnsi"/>
        </w:rPr>
      </w:pPr>
      <w:r w:rsidRPr="00827F9B">
        <w:rPr>
          <w:rFonts w:cstheme="minorHAnsi"/>
        </w:rPr>
        <w:t xml:space="preserve">Forest carbon implications of contemporary fuels management treatments are complex and the subject of ongoing research. What </w:t>
      </w:r>
      <w:r w:rsidR="00BB0060">
        <w:rPr>
          <w:rFonts w:cstheme="minorHAnsi"/>
        </w:rPr>
        <w:t>best available</w:t>
      </w:r>
      <w:r w:rsidR="00BB0060" w:rsidRPr="00827F9B">
        <w:rPr>
          <w:rFonts w:cstheme="minorHAnsi"/>
        </w:rPr>
        <w:t xml:space="preserve"> </w:t>
      </w:r>
      <w:r w:rsidRPr="00827F9B">
        <w:rPr>
          <w:rFonts w:cstheme="minorHAnsi"/>
        </w:rPr>
        <w:t xml:space="preserve">science </w:t>
      </w:r>
      <w:r w:rsidR="00BB0060">
        <w:rPr>
          <w:rFonts w:cstheme="minorHAnsi"/>
        </w:rPr>
        <w:t>indicates</w:t>
      </w:r>
      <w:r w:rsidRPr="00827F9B">
        <w:rPr>
          <w:rFonts w:cstheme="minorHAnsi"/>
        </w:rPr>
        <w:t xml:space="preserve"> is that carbon stocks of both live and dead biomass on the landscape are out of balance, undermining long-term ecosystem health and carbon stocks. Across the West, interactions between drought and temperature increases, insect and disease-killed trees, and fuels buildup from a century </w:t>
      </w:r>
      <w:r w:rsidR="001E486B" w:rsidRPr="00827F9B">
        <w:rPr>
          <w:rFonts w:cstheme="minorHAnsi"/>
        </w:rPr>
        <w:t xml:space="preserve">of </w:t>
      </w:r>
      <w:r w:rsidRPr="00827F9B">
        <w:rPr>
          <w:rFonts w:cstheme="minorHAnsi"/>
        </w:rPr>
        <w:t>fire exclusion are driving patterns of heightened wildfire incidence and severity</w:t>
      </w:r>
      <w:r w:rsidR="001E486B" w:rsidRPr="00827F9B">
        <w:rPr>
          <w:rFonts w:cstheme="minorHAnsi"/>
        </w:rPr>
        <w:t>.</w:t>
      </w:r>
      <w:r w:rsidRPr="00827F9B">
        <w:rPr>
          <w:rStyle w:val="FootnoteReference"/>
          <w:rFonts w:cstheme="minorHAnsi"/>
          <w:color w:val="000000" w:themeColor="text1"/>
        </w:rPr>
        <w:footnoteReference w:id="1"/>
      </w:r>
      <w:r w:rsidRPr="00827F9B">
        <w:rPr>
          <w:rFonts w:cstheme="minorHAnsi"/>
        </w:rPr>
        <w:t xml:space="preserve"> Investments in large-scale interventions to remove the excess fuels implies a near-term carbon loss in favor of fostering a more resilient landscape in the long</w:t>
      </w:r>
      <w:r w:rsidR="001E486B" w:rsidRPr="00827F9B">
        <w:rPr>
          <w:rFonts w:cstheme="minorHAnsi"/>
        </w:rPr>
        <w:t xml:space="preserve"> </w:t>
      </w:r>
      <w:r w:rsidRPr="00827F9B">
        <w:rPr>
          <w:rFonts w:cstheme="minorHAnsi"/>
        </w:rPr>
        <w:t>term. This near-term loss can be mitigated by transforming fuels into harvested wood products</w:t>
      </w:r>
      <w:r w:rsidR="001E486B" w:rsidRPr="00827F9B">
        <w:rPr>
          <w:rFonts w:cstheme="minorHAnsi"/>
        </w:rPr>
        <w:t>,</w:t>
      </w:r>
      <w:r w:rsidRPr="00827F9B">
        <w:rPr>
          <w:rFonts w:cstheme="minorHAnsi"/>
        </w:rPr>
        <w:t xml:space="preserve"> including innovative uses such as biochar that store carbon over long periods. A lack of intervention will likely serve to maintain </w:t>
      </w:r>
      <w:r w:rsidRPr="00827F9B">
        <w:rPr>
          <w:rFonts w:cstheme="minorHAnsi"/>
        </w:rPr>
        <w:lastRenderedPageBreak/>
        <w:t>carbon stocks in the near</w:t>
      </w:r>
      <w:r w:rsidR="001E486B" w:rsidRPr="00827F9B">
        <w:rPr>
          <w:rFonts w:cstheme="minorHAnsi"/>
        </w:rPr>
        <w:t xml:space="preserve"> </w:t>
      </w:r>
      <w:r w:rsidRPr="00827F9B">
        <w:rPr>
          <w:rFonts w:cstheme="minorHAnsi"/>
        </w:rPr>
        <w:t xml:space="preserve">term but give way to greater net emissions and loss </w:t>
      </w:r>
      <w:r w:rsidR="001E486B" w:rsidRPr="00827F9B">
        <w:rPr>
          <w:rFonts w:cstheme="minorHAnsi"/>
        </w:rPr>
        <w:t xml:space="preserve">of </w:t>
      </w:r>
      <w:r w:rsidRPr="00827F9B">
        <w:rPr>
          <w:rFonts w:cstheme="minorHAnsi"/>
        </w:rPr>
        <w:t>ecosystem services in the long</w:t>
      </w:r>
      <w:r w:rsidR="001E486B" w:rsidRPr="00827F9B">
        <w:rPr>
          <w:rFonts w:cstheme="minorHAnsi"/>
        </w:rPr>
        <w:t xml:space="preserve"> </w:t>
      </w:r>
      <w:r w:rsidRPr="00827F9B">
        <w:rPr>
          <w:rFonts w:cstheme="minorHAnsi"/>
        </w:rPr>
        <w:t xml:space="preserve">term, given the persistent patterns of wildfire, drought, and climate change. </w:t>
      </w:r>
    </w:p>
    <w:p w14:paraId="1EFF573D" w14:textId="104FCBC4" w:rsidR="005B2A6F" w:rsidRPr="00827F9B" w:rsidRDefault="005B2A6F" w:rsidP="00827F9B">
      <w:pPr>
        <w:spacing w:after="0" w:line="276" w:lineRule="auto"/>
        <w:rPr>
          <w:rFonts w:eastAsia="Times New Roman" w:cstheme="minorHAnsi"/>
          <w:b/>
          <w:bCs/>
          <w:i/>
          <w:iCs/>
          <w:color w:val="000000" w:themeColor="text1"/>
          <w:sz w:val="24"/>
          <w:szCs w:val="24"/>
        </w:rPr>
      </w:pPr>
      <w:r w:rsidRPr="00827F9B">
        <w:rPr>
          <w:rFonts w:eastAsia="Times New Roman" w:cstheme="minorHAnsi"/>
          <w:b/>
          <w:bCs/>
          <w:i/>
          <w:iCs/>
          <w:color w:val="000000" w:themeColor="text1"/>
          <w:sz w:val="24"/>
          <w:szCs w:val="24"/>
        </w:rPr>
        <w:t xml:space="preserve">Partner Connections to </w:t>
      </w:r>
      <w:r w:rsidR="003D0087" w:rsidRPr="00827F9B">
        <w:rPr>
          <w:rFonts w:eastAsia="Times New Roman" w:cstheme="minorHAnsi"/>
          <w:b/>
          <w:bCs/>
          <w:i/>
          <w:iCs/>
          <w:color w:val="000000" w:themeColor="text1"/>
          <w:sz w:val="24"/>
          <w:szCs w:val="24"/>
        </w:rPr>
        <w:t>Landscapes</w:t>
      </w:r>
    </w:p>
    <w:p w14:paraId="138976B1" w14:textId="6956D314" w:rsidR="005B2A6F" w:rsidRPr="0084451B" w:rsidRDefault="0084451B" w:rsidP="00827F9B">
      <w:pPr>
        <w:spacing w:after="0" w:line="276" w:lineRule="auto"/>
        <w:rPr>
          <w:rFonts w:cstheme="minorHAnsi"/>
        </w:rPr>
      </w:pPr>
      <w:r w:rsidRPr="0084451B">
        <w:rPr>
          <w:rFonts w:cstheme="minorHAnsi"/>
        </w:rPr>
        <w:t>Each landscape is dependent on a place-based network of partners who have come together united in a common goal to work together on the landscape. Achieving the desired pace and scale of land treatments on these landscapes will require the support of State and local governments, Tribes, nongovernment organizations, and private contractors. Many of these initial landscapes already have momentum in leveraging resources across boundaries. Once landscapes are announced, work will begin in earnest to develop long-term, leveraged funding plans on these landscapes.</w:t>
      </w:r>
    </w:p>
    <w:p w14:paraId="0EE71CD0" w14:textId="2860753E" w:rsidR="00916671" w:rsidRPr="00827F9B" w:rsidRDefault="005B2A6F" w:rsidP="009B5159">
      <w:pPr>
        <w:spacing w:line="276" w:lineRule="auto"/>
        <w:rPr>
          <w:rFonts w:cstheme="minorHAnsi"/>
          <w:sz w:val="24"/>
          <w:szCs w:val="24"/>
        </w:rPr>
      </w:pPr>
      <w:r w:rsidRPr="00827F9B">
        <w:rPr>
          <w:rFonts w:eastAsia="Times New Roman" w:cstheme="minorHAnsi"/>
        </w:rPr>
        <w:t xml:space="preserve"> </w:t>
      </w:r>
    </w:p>
    <w:sectPr w:rsidR="00916671" w:rsidRPr="00827F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DE91" w14:textId="77777777" w:rsidR="00EE27C6" w:rsidRDefault="00EE27C6" w:rsidP="005B2A6F">
      <w:pPr>
        <w:spacing w:after="0" w:line="240" w:lineRule="auto"/>
      </w:pPr>
      <w:r>
        <w:separator/>
      </w:r>
    </w:p>
  </w:endnote>
  <w:endnote w:type="continuationSeparator" w:id="0">
    <w:p w14:paraId="1F94A03F" w14:textId="77777777" w:rsidR="00EE27C6" w:rsidRDefault="00EE27C6" w:rsidP="005B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dVisi_MSFontService">
    <w:altName w:val="Cambria"/>
    <w:charset w:val="00"/>
    <w:family w:val="roman"/>
    <w:pitch w:val="default"/>
  </w:font>
  <w:font w:name="Minion Pro">
    <w:altName w:val="Minion Pro"/>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51562"/>
      <w:docPartObj>
        <w:docPartGallery w:val="Page Numbers (Bottom of Page)"/>
        <w:docPartUnique/>
      </w:docPartObj>
    </w:sdtPr>
    <w:sdtEndPr>
      <w:rPr>
        <w:rFonts w:ascii="Times New Roman" w:hAnsi="Times New Roman" w:cs="Times New Roman"/>
        <w:noProof/>
      </w:rPr>
    </w:sdtEndPr>
    <w:sdtContent>
      <w:p w14:paraId="3136FB91" w14:textId="77777777" w:rsidR="00827F9B" w:rsidRPr="00E56AF0" w:rsidRDefault="00827F9B">
        <w:pPr>
          <w:pStyle w:val="Footer"/>
          <w:jc w:val="center"/>
          <w:rPr>
            <w:rFonts w:ascii="Times New Roman" w:hAnsi="Times New Roman" w:cs="Times New Roman"/>
          </w:rPr>
        </w:pPr>
        <w:r w:rsidRPr="00E56AF0">
          <w:rPr>
            <w:rFonts w:ascii="Times New Roman" w:hAnsi="Times New Roman" w:cs="Times New Roman"/>
          </w:rPr>
          <w:fldChar w:fldCharType="begin"/>
        </w:r>
        <w:r w:rsidRPr="00E56AF0">
          <w:rPr>
            <w:rFonts w:ascii="Times New Roman" w:hAnsi="Times New Roman" w:cs="Times New Roman"/>
          </w:rPr>
          <w:instrText xml:space="preserve"> PAGE   \* MERGEFORMAT </w:instrText>
        </w:r>
        <w:r w:rsidRPr="00E56AF0">
          <w:rPr>
            <w:rFonts w:ascii="Times New Roman" w:hAnsi="Times New Roman" w:cs="Times New Roman"/>
          </w:rPr>
          <w:fldChar w:fldCharType="separate"/>
        </w:r>
        <w:r w:rsidRPr="00E56AF0">
          <w:rPr>
            <w:rFonts w:ascii="Times New Roman" w:hAnsi="Times New Roman" w:cs="Times New Roman"/>
            <w:noProof/>
          </w:rPr>
          <w:t>2</w:t>
        </w:r>
        <w:r w:rsidRPr="00E56AF0">
          <w:rPr>
            <w:rFonts w:ascii="Times New Roman" w:hAnsi="Times New Roman" w:cs="Times New Roman"/>
            <w:noProof/>
          </w:rPr>
          <w:fldChar w:fldCharType="end"/>
        </w:r>
      </w:p>
    </w:sdtContent>
  </w:sdt>
  <w:p w14:paraId="255DC58A" w14:textId="77777777" w:rsidR="00827F9B" w:rsidRDefault="00827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0C49" w14:textId="77777777" w:rsidR="00EE27C6" w:rsidRDefault="00EE27C6" w:rsidP="005B2A6F">
      <w:pPr>
        <w:spacing w:after="0" w:line="240" w:lineRule="auto"/>
      </w:pPr>
      <w:r>
        <w:separator/>
      </w:r>
    </w:p>
  </w:footnote>
  <w:footnote w:type="continuationSeparator" w:id="0">
    <w:p w14:paraId="3F260FE4" w14:textId="77777777" w:rsidR="00EE27C6" w:rsidRDefault="00EE27C6" w:rsidP="005B2A6F">
      <w:pPr>
        <w:spacing w:after="0" w:line="240" w:lineRule="auto"/>
      </w:pPr>
      <w:r>
        <w:continuationSeparator/>
      </w:r>
    </w:p>
  </w:footnote>
  <w:footnote w:id="1">
    <w:p w14:paraId="6BEED404" w14:textId="77777777" w:rsidR="005B2A6F" w:rsidRDefault="005B2A6F" w:rsidP="005B2A6F">
      <w:pPr>
        <w:pStyle w:val="FootnoteText"/>
      </w:pPr>
      <w:r>
        <w:rPr>
          <w:rStyle w:val="FootnoteReference"/>
        </w:rPr>
        <w:footnoteRef/>
      </w:r>
      <w:r>
        <w:t xml:space="preserve"> Koch, Frank H.; Ellenwood, James R. 2020. Sustainable Forest Indicator 3.16. </w:t>
      </w:r>
      <w:hyperlink r:id="rId1" w:history="1">
        <w:r w:rsidRPr="009D6C6F">
          <w:rPr>
            <w:rStyle w:val="Hyperlink"/>
          </w:rPr>
          <w:t>https://www.fs.fed.us/research/sustain/criteria-indicators/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E57A" w14:textId="77777777" w:rsidR="00827F9B" w:rsidRPr="00D15285" w:rsidRDefault="00827F9B">
    <w:pPr>
      <w:pStyle w:val="Header"/>
      <w:rPr>
        <w:rFonts w:ascii="Times New Roman" w:hAnsi="Times New Roman" w:cs="Times New Roman"/>
      </w:rPr>
    </w:pPr>
  </w:p>
  <w:p w14:paraId="78281EC8" w14:textId="77777777" w:rsidR="00827F9B" w:rsidRPr="00D15285" w:rsidRDefault="00827F9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420"/>
    <w:multiLevelType w:val="hybridMultilevel"/>
    <w:tmpl w:val="3606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4517"/>
    <w:multiLevelType w:val="hybridMultilevel"/>
    <w:tmpl w:val="7DA80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84541"/>
    <w:multiLevelType w:val="hybridMultilevel"/>
    <w:tmpl w:val="91CEF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5D43A7"/>
    <w:multiLevelType w:val="hybridMultilevel"/>
    <w:tmpl w:val="4776F7D8"/>
    <w:lvl w:ilvl="0" w:tplc="E4202B32">
      <w:start w:val="1"/>
      <w:numFmt w:val="bullet"/>
      <w:lvlText w:val=""/>
      <w:lvlJc w:val="left"/>
      <w:pPr>
        <w:ind w:left="720" w:hanging="360"/>
      </w:pPr>
      <w:rPr>
        <w:rFonts w:ascii="Symbol" w:hAnsi="Symbol" w:hint="default"/>
      </w:rPr>
    </w:lvl>
    <w:lvl w:ilvl="1" w:tplc="7AC2DAB4">
      <w:start w:val="1"/>
      <w:numFmt w:val="bullet"/>
      <w:lvlText w:val="o"/>
      <w:lvlJc w:val="left"/>
      <w:pPr>
        <w:ind w:left="1440" w:hanging="360"/>
      </w:pPr>
      <w:rPr>
        <w:rFonts w:ascii="Courier New" w:hAnsi="Courier New" w:hint="default"/>
      </w:rPr>
    </w:lvl>
    <w:lvl w:ilvl="2" w:tplc="C27465A2">
      <w:start w:val="1"/>
      <w:numFmt w:val="bullet"/>
      <w:lvlText w:val=""/>
      <w:lvlJc w:val="left"/>
      <w:pPr>
        <w:ind w:left="2160" w:hanging="360"/>
      </w:pPr>
      <w:rPr>
        <w:rFonts w:ascii="Wingdings" w:hAnsi="Wingdings" w:hint="default"/>
      </w:rPr>
    </w:lvl>
    <w:lvl w:ilvl="3" w:tplc="86E43C0C">
      <w:start w:val="1"/>
      <w:numFmt w:val="bullet"/>
      <w:lvlText w:val=""/>
      <w:lvlJc w:val="left"/>
      <w:pPr>
        <w:ind w:left="2880" w:hanging="360"/>
      </w:pPr>
      <w:rPr>
        <w:rFonts w:ascii="Symbol" w:hAnsi="Symbol" w:hint="default"/>
      </w:rPr>
    </w:lvl>
    <w:lvl w:ilvl="4" w:tplc="0766408C">
      <w:start w:val="1"/>
      <w:numFmt w:val="bullet"/>
      <w:lvlText w:val="o"/>
      <w:lvlJc w:val="left"/>
      <w:pPr>
        <w:ind w:left="3600" w:hanging="360"/>
      </w:pPr>
      <w:rPr>
        <w:rFonts w:ascii="Courier New" w:hAnsi="Courier New" w:hint="default"/>
      </w:rPr>
    </w:lvl>
    <w:lvl w:ilvl="5" w:tplc="BAA274B0">
      <w:start w:val="1"/>
      <w:numFmt w:val="bullet"/>
      <w:lvlText w:val=""/>
      <w:lvlJc w:val="left"/>
      <w:pPr>
        <w:ind w:left="4320" w:hanging="360"/>
      </w:pPr>
      <w:rPr>
        <w:rFonts w:ascii="Wingdings" w:hAnsi="Wingdings" w:hint="default"/>
      </w:rPr>
    </w:lvl>
    <w:lvl w:ilvl="6" w:tplc="E542A966">
      <w:start w:val="1"/>
      <w:numFmt w:val="bullet"/>
      <w:lvlText w:val=""/>
      <w:lvlJc w:val="left"/>
      <w:pPr>
        <w:ind w:left="5040" w:hanging="360"/>
      </w:pPr>
      <w:rPr>
        <w:rFonts w:ascii="Symbol" w:hAnsi="Symbol" w:hint="default"/>
      </w:rPr>
    </w:lvl>
    <w:lvl w:ilvl="7" w:tplc="5052B55C">
      <w:start w:val="1"/>
      <w:numFmt w:val="bullet"/>
      <w:lvlText w:val="o"/>
      <w:lvlJc w:val="left"/>
      <w:pPr>
        <w:ind w:left="5760" w:hanging="360"/>
      </w:pPr>
      <w:rPr>
        <w:rFonts w:ascii="Courier New" w:hAnsi="Courier New" w:hint="default"/>
      </w:rPr>
    </w:lvl>
    <w:lvl w:ilvl="8" w:tplc="160C0F12">
      <w:start w:val="1"/>
      <w:numFmt w:val="bullet"/>
      <w:lvlText w:val=""/>
      <w:lvlJc w:val="left"/>
      <w:pPr>
        <w:ind w:left="6480" w:hanging="360"/>
      </w:pPr>
      <w:rPr>
        <w:rFonts w:ascii="Wingdings" w:hAnsi="Wingdings" w:hint="default"/>
      </w:rPr>
    </w:lvl>
  </w:abstractNum>
  <w:abstractNum w:abstractNumId="4" w15:restartNumberingAfterBreak="0">
    <w:nsid w:val="1F8566F3"/>
    <w:multiLevelType w:val="hybridMultilevel"/>
    <w:tmpl w:val="930E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F1246"/>
    <w:multiLevelType w:val="hybridMultilevel"/>
    <w:tmpl w:val="FCE0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56584"/>
    <w:multiLevelType w:val="hybridMultilevel"/>
    <w:tmpl w:val="75D03358"/>
    <w:lvl w:ilvl="0" w:tplc="12522A34">
      <w:start w:val="1"/>
      <w:numFmt w:val="decimal"/>
      <w:lvlText w:val="%1."/>
      <w:lvlJc w:val="left"/>
      <w:pPr>
        <w:ind w:left="720" w:hanging="360"/>
      </w:pPr>
    </w:lvl>
    <w:lvl w:ilvl="1" w:tplc="8D0A39F4">
      <w:start w:val="1"/>
      <w:numFmt w:val="lowerLetter"/>
      <w:lvlText w:val="%2."/>
      <w:lvlJc w:val="left"/>
      <w:pPr>
        <w:ind w:left="1440" w:hanging="360"/>
      </w:pPr>
    </w:lvl>
    <w:lvl w:ilvl="2" w:tplc="93B03212">
      <w:start w:val="1"/>
      <w:numFmt w:val="lowerRoman"/>
      <w:lvlText w:val="%3."/>
      <w:lvlJc w:val="right"/>
      <w:pPr>
        <w:ind w:left="2160" w:hanging="180"/>
      </w:pPr>
    </w:lvl>
    <w:lvl w:ilvl="3" w:tplc="2EF62330">
      <w:start w:val="1"/>
      <w:numFmt w:val="decimal"/>
      <w:lvlText w:val="%4."/>
      <w:lvlJc w:val="left"/>
      <w:pPr>
        <w:ind w:left="2880" w:hanging="360"/>
      </w:pPr>
    </w:lvl>
    <w:lvl w:ilvl="4" w:tplc="570A9E56">
      <w:start w:val="1"/>
      <w:numFmt w:val="lowerLetter"/>
      <w:lvlText w:val="%5."/>
      <w:lvlJc w:val="left"/>
      <w:pPr>
        <w:ind w:left="3600" w:hanging="360"/>
      </w:pPr>
    </w:lvl>
    <w:lvl w:ilvl="5" w:tplc="D344670E">
      <w:start w:val="1"/>
      <w:numFmt w:val="lowerRoman"/>
      <w:lvlText w:val="%6."/>
      <w:lvlJc w:val="right"/>
      <w:pPr>
        <w:ind w:left="4320" w:hanging="180"/>
      </w:pPr>
    </w:lvl>
    <w:lvl w:ilvl="6" w:tplc="20DC1D3E">
      <w:start w:val="1"/>
      <w:numFmt w:val="decimal"/>
      <w:lvlText w:val="%7."/>
      <w:lvlJc w:val="left"/>
      <w:pPr>
        <w:ind w:left="5040" w:hanging="360"/>
      </w:pPr>
    </w:lvl>
    <w:lvl w:ilvl="7" w:tplc="509CDA70">
      <w:start w:val="1"/>
      <w:numFmt w:val="lowerLetter"/>
      <w:lvlText w:val="%8."/>
      <w:lvlJc w:val="left"/>
      <w:pPr>
        <w:ind w:left="5760" w:hanging="360"/>
      </w:pPr>
    </w:lvl>
    <w:lvl w:ilvl="8" w:tplc="784C7E34">
      <w:start w:val="1"/>
      <w:numFmt w:val="lowerRoman"/>
      <w:lvlText w:val="%9."/>
      <w:lvlJc w:val="right"/>
      <w:pPr>
        <w:ind w:left="6480" w:hanging="180"/>
      </w:pPr>
    </w:lvl>
  </w:abstractNum>
  <w:abstractNum w:abstractNumId="7" w15:restartNumberingAfterBreak="0">
    <w:nsid w:val="26497995"/>
    <w:multiLevelType w:val="hybridMultilevel"/>
    <w:tmpl w:val="48D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06E46"/>
    <w:multiLevelType w:val="hybridMultilevel"/>
    <w:tmpl w:val="04B6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9635D"/>
    <w:multiLevelType w:val="hybridMultilevel"/>
    <w:tmpl w:val="0EEE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C1CE9"/>
    <w:multiLevelType w:val="hybridMultilevel"/>
    <w:tmpl w:val="8518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B6886"/>
    <w:multiLevelType w:val="hybridMultilevel"/>
    <w:tmpl w:val="8A26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31A81"/>
    <w:multiLevelType w:val="hybridMultilevel"/>
    <w:tmpl w:val="1F2C38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71391"/>
    <w:multiLevelType w:val="hybridMultilevel"/>
    <w:tmpl w:val="8F86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3591D"/>
    <w:multiLevelType w:val="multilevel"/>
    <w:tmpl w:val="F726F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014B0A"/>
    <w:multiLevelType w:val="hybridMultilevel"/>
    <w:tmpl w:val="1E5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53C37"/>
    <w:multiLevelType w:val="hybridMultilevel"/>
    <w:tmpl w:val="249A7162"/>
    <w:lvl w:ilvl="0" w:tplc="09E6011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26202"/>
    <w:multiLevelType w:val="hybridMultilevel"/>
    <w:tmpl w:val="5B506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A1B1A"/>
    <w:multiLevelType w:val="hybridMultilevel"/>
    <w:tmpl w:val="B948A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877277">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68646069">
    <w:abstractNumId w:val="10"/>
  </w:num>
  <w:num w:numId="3" w16cid:durableId="672415368">
    <w:abstractNumId w:val="5"/>
  </w:num>
  <w:num w:numId="4" w16cid:durableId="764307057">
    <w:abstractNumId w:val="15"/>
  </w:num>
  <w:num w:numId="5" w16cid:durableId="494685806">
    <w:abstractNumId w:val="13"/>
  </w:num>
  <w:num w:numId="6" w16cid:durableId="176620875">
    <w:abstractNumId w:val="8"/>
  </w:num>
  <w:num w:numId="7" w16cid:durableId="1956325833">
    <w:abstractNumId w:val="16"/>
  </w:num>
  <w:num w:numId="8" w16cid:durableId="1646856769">
    <w:abstractNumId w:val="9"/>
  </w:num>
  <w:num w:numId="9" w16cid:durableId="1390612595">
    <w:abstractNumId w:val="4"/>
  </w:num>
  <w:num w:numId="10" w16cid:durableId="436871060">
    <w:abstractNumId w:val="11"/>
  </w:num>
  <w:num w:numId="11" w16cid:durableId="1971938298">
    <w:abstractNumId w:val="0"/>
  </w:num>
  <w:num w:numId="12" w16cid:durableId="1910187400">
    <w:abstractNumId w:val="6"/>
  </w:num>
  <w:num w:numId="13" w16cid:durableId="588198313">
    <w:abstractNumId w:val="3"/>
  </w:num>
  <w:num w:numId="14" w16cid:durableId="2071266818">
    <w:abstractNumId w:val="1"/>
  </w:num>
  <w:num w:numId="15" w16cid:durableId="713697657">
    <w:abstractNumId w:val="12"/>
  </w:num>
  <w:num w:numId="16" w16cid:durableId="924387540">
    <w:abstractNumId w:val="2"/>
  </w:num>
  <w:num w:numId="17" w16cid:durableId="1724325057">
    <w:abstractNumId w:val="17"/>
  </w:num>
  <w:num w:numId="18" w16cid:durableId="2101019192">
    <w:abstractNumId w:val="18"/>
  </w:num>
  <w:num w:numId="19" w16cid:durableId="809205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6F"/>
    <w:rsid w:val="00005B7D"/>
    <w:rsid w:val="00006935"/>
    <w:rsid w:val="000247CA"/>
    <w:rsid w:val="00037447"/>
    <w:rsid w:val="00042141"/>
    <w:rsid w:val="00052882"/>
    <w:rsid w:val="00052D1C"/>
    <w:rsid w:val="00054478"/>
    <w:rsid w:val="0005474B"/>
    <w:rsid w:val="0006362E"/>
    <w:rsid w:val="00087A21"/>
    <w:rsid w:val="000C3A2F"/>
    <w:rsid w:val="000D59B7"/>
    <w:rsid w:val="000E6C96"/>
    <w:rsid w:val="000F2567"/>
    <w:rsid w:val="000F4B47"/>
    <w:rsid w:val="00116EE7"/>
    <w:rsid w:val="001507A0"/>
    <w:rsid w:val="001654E6"/>
    <w:rsid w:val="0016605E"/>
    <w:rsid w:val="0017404D"/>
    <w:rsid w:val="00175727"/>
    <w:rsid w:val="0018380B"/>
    <w:rsid w:val="00193073"/>
    <w:rsid w:val="001B6FC3"/>
    <w:rsid w:val="001E486B"/>
    <w:rsid w:val="00211AA5"/>
    <w:rsid w:val="00235EEF"/>
    <w:rsid w:val="002621B4"/>
    <w:rsid w:val="00271346"/>
    <w:rsid w:val="002A59CB"/>
    <w:rsid w:val="002C28E4"/>
    <w:rsid w:val="002D7571"/>
    <w:rsid w:val="00305505"/>
    <w:rsid w:val="00343BAF"/>
    <w:rsid w:val="003500F9"/>
    <w:rsid w:val="00367299"/>
    <w:rsid w:val="003D0087"/>
    <w:rsid w:val="003E4E7F"/>
    <w:rsid w:val="003F064A"/>
    <w:rsid w:val="0040030C"/>
    <w:rsid w:val="00405615"/>
    <w:rsid w:val="0042095F"/>
    <w:rsid w:val="00430E22"/>
    <w:rsid w:val="004379AE"/>
    <w:rsid w:val="004770EC"/>
    <w:rsid w:val="00480844"/>
    <w:rsid w:val="00493CD6"/>
    <w:rsid w:val="004D2A4A"/>
    <w:rsid w:val="00503E14"/>
    <w:rsid w:val="00525C4A"/>
    <w:rsid w:val="00537B46"/>
    <w:rsid w:val="00571BA0"/>
    <w:rsid w:val="005774D7"/>
    <w:rsid w:val="005816FB"/>
    <w:rsid w:val="005B2A6F"/>
    <w:rsid w:val="005B556D"/>
    <w:rsid w:val="005C507F"/>
    <w:rsid w:val="0060566D"/>
    <w:rsid w:val="00606A59"/>
    <w:rsid w:val="00645915"/>
    <w:rsid w:val="00677FC2"/>
    <w:rsid w:val="0068551F"/>
    <w:rsid w:val="00695C87"/>
    <w:rsid w:val="006B2D93"/>
    <w:rsid w:val="006C59A2"/>
    <w:rsid w:val="006F71DB"/>
    <w:rsid w:val="00732480"/>
    <w:rsid w:val="00732D74"/>
    <w:rsid w:val="007351E3"/>
    <w:rsid w:val="00751320"/>
    <w:rsid w:val="00786B64"/>
    <w:rsid w:val="0079556D"/>
    <w:rsid w:val="007B276B"/>
    <w:rsid w:val="007D22AD"/>
    <w:rsid w:val="007D46FD"/>
    <w:rsid w:val="00827F9B"/>
    <w:rsid w:val="00830EE0"/>
    <w:rsid w:val="0084451B"/>
    <w:rsid w:val="0086501F"/>
    <w:rsid w:val="00896723"/>
    <w:rsid w:val="008A6F1E"/>
    <w:rsid w:val="008C70BA"/>
    <w:rsid w:val="008E02B2"/>
    <w:rsid w:val="009149E7"/>
    <w:rsid w:val="00916671"/>
    <w:rsid w:val="00921A21"/>
    <w:rsid w:val="009220CE"/>
    <w:rsid w:val="00943CAE"/>
    <w:rsid w:val="0096020D"/>
    <w:rsid w:val="00960C39"/>
    <w:rsid w:val="00973CB1"/>
    <w:rsid w:val="00976C93"/>
    <w:rsid w:val="009B5159"/>
    <w:rsid w:val="009B72AE"/>
    <w:rsid w:val="009E4504"/>
    <w:rsid w:val="009F7008"/>
    <w:rsid w:val="00A00DCC"/>
    <w:rsid w:val="00A23449"/>
    <w:rsid w:val="00A423E6"/>
    <w:rsid w:val="00A551D6"/>
    <w:rsid w:val="00A92AF6"/>
    <w:rsid w:val="00AC2ACF"/>
    <w:rsid w:val="00AD263F"/>
    <w:rsid w:val="00AF4398"/>
    <w:rsid w:val="00B43362"/>
    <w:rsid w:val="00B942A8"/>
    <w:rsid w:val="00BA26F8"/>
    <w:rsid w:val="00BB0060"/>
    <w:rsid w:val="00CC359A"/>
    <w:rsid w:val="00CC37F6"/>
    <w:rsid w:val="00CC57F8"/>
    <w:rsid w:val="00CD1536"/>
    <w:rsid w:val="00CF56E8"/>
    <w:rsid w:val="00D179D8"/>
    <w:rsid w:val="00D3210A"/>
    <w:rsid w:val="00D35EB0"/>
    <w:rsid w:val="00D410ED"/>
    <w:rsid w:val="00D460A7"/>
    <w:rsid w:val="00D531DD"/>
    <w:rsid w:val="00D5557E"/>
    <w:rsid w:val="00D77263"/>
    <w:rsid w:val="00DE0D05"/>
    <w:rsid w:val="00E3221C"/>
    <w:rsid w:val="00EC3F1F"/>
    <w:rsid w:val="00ED30C7"/>
    <w:rsid w:val="00EE1EC8"/>
    <w:rsid w:val="00EE27C6"/>
    <w:rsid w:val="00EF72AC"/>
    <w:rsid w:val="00F36D71"/>
    <w:rsid w:val="00F43359"/>
    <w:rsid w:val="00F64F0A"/>
    <w:rsid w:val="00FE2126"/>
    <w:rsid w:val="00FE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D846"/>
  <w15:chartTrackingRefBased/>
  <w15:docId w15:val="{1B8F11C4-931E-4248-A7C5-B605B13D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A6F"/>
    <w:pPr>
      <w:spacing w:after="0" w:line="240" w:lineRule="auto"/>
    </w:pPr>
  </w:style>
  <w:style w:type="character" w:customStyle="1" w:styleId="normaltextrun">
    <w:name w:val="normaltextrun"/>
    <w:basedOn w:val="DefaultParagraphFont"/>
    <w:rsid w:val="005B2A6F"/>
  </w:style>
  <w:style w:type="character" w:customStyle="1" w:styleId="contextualspellingandgrammarerror">
    <w:name w:val="contextualspellingandgrammarerror"/>
    <w:basedOn w:val="DefaultParagraphFont"/>
    <w:rsid w:val="005B2A6F"/>
  </w:style>
  <w:style w:type="character" w:customStyle="1" w:styleId="eop">
    <w:name w:val="eop"/>
    <w:basedOn w:val="DefaultParagraphFont"/>
    <w:rsid w:val="005B2A6F"/>
  </w:style>
  <w:style w:type="character" w:styleId="CommentReference">
    <w:name w:val="annotation reference"/>
    <w:basedOn w:val="DefaultParagraphFont"/>
    <w:uiPriority w:val="99"/>
    <w:semiHidden/>
    <w:unhideWhenUsed/>
    <w:rsid w:val="005B2A6F"/>
    <w:rPr>
      <w:sz w:val="16"/>
      <w:szCs w:val="16"/>
    </w:rPr>
  </w:style>
  <w:style w:type="paragraph" w:styleId="CommentText">
    <w:name w:val="annotation text"/>
    <w:basedOn w:val="Normal"/>
    <w:link w:val="CommentTextChar"/>
    <w:uiPriority w:val="99"/>
    <w:unhideWhenUsed/>
    <w:rsid w:val="005B2A6F"/>
    <w:pPr>
      <w:spacing w:line="240" w:lineRule="auto"/>
    </w:pPr>
    <w:rPr>
      <w:sz w:val="20"/>
      <w:szCs w:val="20"/>
    </w:rPr>
  </w:style>
  <w:style w:type="character" w:customStyle="1" w:styleId="CommentTextChar">
    <w:name w:val="Comment Text Char"/>
    <w:basedOn w:val="DefaultParagraphFont"/>
    <w:link w:val="CommentText"/>
    <w:uiPriority w:val="99"/>
    <w:rsid w:val="005B2A6F"/>
    <w:rPr>
      <w:sz w:val="20"/>
      <w:szCs w:val="20"/>
    </w:rPr>
  </w:style>
  <w:style w:type="paragraph" w:customStyle="1" w:styleId="paragraph">
    <w:name w:val="paragraph"/>
    <w:basedOn w:val="Normal"/>
    <w:rsid w:val="005B2A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2A6F"/>
    <w:pPr>
      <w:ind w:left="720"/>
      <w:contextualSpacing/>
    </w:pPr>
  </w:style>
  <w:style w:type="paragraph" w:styleId="FootnoteText">
    <w:name w:val="footnote text"/>
    <w:basedOn w:val="Normal"/>
    <w:link w:val="FootnoteTextChar"/>
    <w:uiPriority w:val="99"/>
    <w:semiHidden/>
    <w:unhideWhenUsed/>
    <w:rsid w:val="005B2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A6F"/>
    <w:rPr>
      <w:sz w:val="20"/>
      <w:szCs w:val="20"/>
    </w:rPr>
  </w:style>
  <w:style w:type="character" w:styleId="FootnoteReference">
    <w:name w:val="footnote reference"/>
    <w:basedOn w:val="DefaultParagraphFont"/>
    <w:uiPriority w:val="99"/>
    <w:semiHidden/>
    <w:unhideWhenUsed/>
    <w:rsid w:val="005B2A6F"/>
    <w:rPr>
      <w:vertAlign w:val="superscript"/>
    </w:rPr>
  </w:style>
  <w:style w:type="character" w:styleId="Hyperlink">
    <w:name w:val="Hyperlink"/>
    <w:basedOn w:val="DefaultParagraphFont"/>
    <w:uiPriority w:val="99"/>
    <w:unhideWhenUsed/>
    <w:rsid w:val="005B2A6F"/>
    <w:rPr>
      <w:color w:val="0563C1" w:themeColor="hyperlink"/>
      <w:u w:val="single"/>
    </w:rPr>
  </w:style>
  <w:style w:type="table" w:styleId="GridTable4-Accent6">
    <w:name w:val="Grid Table 4 Accent 6"/>
    <w:basedOn w:val="TableNormal"/>
    <w:uiPriority w:val="49"/>
    <w:rsid w:val="00CF56E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916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671"/>
    <w:rPr>
      <w:b/>
      <w:bCs/>
    </w:rPr>
  </w:style>
  <w:style w:type="table" w:styleId="TableGrid">
    <w:name w:val="Table Grid"/>
    <w:basedOn w:val="TableNormal"/>
    <w:uiPriority w:val="39"/>
    <w:rsid w:val="0082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F9B"/>
  </w:style>
  <w:style w:type="paragraph" w:styleId="Footer">
    <w:name w:val="footer"/>
    <w:basedOn w:val="Normal"/>
    <w:link w:val="FooterChar"/>
    <w:uiPriority w:val="99"/>
    <w:unhideWhenUsed/>
    <w:rsid w:val="00827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F9B"/>
  </w:style>
  <w:style w:type="paragraph" w:styleId="CommentSubject">
    <w:name w:val="annotation subject"/>
    <w:basedOn w:val="CommentText"/>
    <w:next w:val="CommentText"/>
    <w:link w:val="CommentSubjectChar"/>
    <w:uiPriority w:val="99"/>
    <w:semiHidden/>
    <w:unhideWhenUsed/>
    <w:rsid w:val="00493CD6"/>
    <w:rPr>
      <w:b/>
      <w:bCs/>
    </w:rPr>
  </w:style>
  <w:style w:type="character" w:customStyle="1" w:styleId="CommentSubjectChar">
    <w:name w:val="Comment Subject Char"/>
    <w:basedOn w:val="CommentTextChar"/>
    <w:link w:val="CommentSubject"/>
    <w:uiPriority w:val="99"/>
    <w:semiHidden/>
    <w:rsid w:val="00493CD6"/>
    <w:rPr>
      <w:b/>
      <w:bCs/>
      <w:sz w:val="20"/>
      <w:szCs w:val="20"/>
    </w:rPr>
  </w:style>
  <w:style w:type="character" w:customStyle="1" w:styleId="font251">
    <w:name w:val="font251"/>
    <w:basedOn w:val="DefaultParagraphFont"/>
    <w:rsid w:val="00973CB1"/>
    <w:rPr>
      <w:rFonts w:ascii="Calibri" w:hAnsi="Calibri" w:cs="Calibri" w:hint="default"/>
      <w:b/>
      <w:bCs/>
      <w:i w:val="0"/>
      <w:iCs w:val="0"/>
      <w:strike w:val="0"/>
      <w:dstrike w:val="0"/>
      <w:color w:val="auto"/>
      <w:sz w:val="22"/>
      <w:szCs w:val="22"/>
      <w:u w:val="none"/>
      <w:effect w:val="none"/>
    </w:rPr>
  </w:style>
  <w:style w:type="paragraph" w:styleId="Title">
    <w:name w:val="Title"/>
    <w:basedOn w:val="Normal"/>
    <w:link w:val="TitleChar"/>
    <w:qFormat/>
    <w:rsid w:val="0084451B"/>
    <w:pPr>
      <w:spacing w:after="0" w:line="240" w:lineRule="auto"/>
      <w:jc w:val="center"/>
    </w:pPr>
    <w:rPr>
      <w:rFonts w:ascii="Times New Roman" w:eastAsia="Calibri" w:hAnsi="Times New Roman" w:cs="Times New Roman"/>
      <w:b/>
      <w:bCs/>
      <w:smallCaps/>
      <w:sz w:val="28"/>
      <w:szCs w:val="28"/>
    </w:rPr>
  </w:style>
  <w:style w:type="character" w:customStyle="1" w:styleId="TitleChar">
    <w:name w:val="Title Char"/>
    <w:basedOn w:val="DefaultParagraphFont"/>
    <w:link w:val="Title"/>
    <w:rsid w:val="0084451B"/>
    <w:rPr>
      <w:rFonts w:ascii="Times New Roman" w:eastAsia="Calibri" w:hAnsi="Times New Roman" w:cs="Times New Roman"/>
      <w:b/>
      <w:bCs/>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566">
      <w:bodyDiv w:val="1"/>
      <w:marLeft w:val="0"/>
      <w:marRight w:val="0"/>
      <w:marTop w:val="0"/>
      <w:marBottom w:val="0"/>
      <w:divBdr>
        <w:top w:val="none" w:sz="0" w:space="0" w:color="auto"/>
        <w:left w:val="none" w:sz="0" w:space="0" w:color="auto"/>
        <w:bottom w:val="none" w:sz="0" w:space="0" w:color="auto"/>
        <w:right w:val="none" w:sz="0" w:space="0" w:color="auto"/>
      </w:divBdr>
    </w:div>
    <w:div w:id="1125343292">
      <w:bodyDiv w:val="1"/>
      <w:marLeft w:val="0"/>
      <w:marRight w:val="0"/>
      <w:marTop w:val="0"/>
      <w:marBottom w:val="0"/>
      <w:divBdr>
        <w:top w:val="none" w:sz="0" w:space="0" w:color="auto"/>
        <w:left w:val="none" w:sz="0" w:space="0" w:color="auto"/>
        <w:bottom w:val="none" w:sz="0" w:space="0" w:color="auto"/>
        <w:right w:val="none" w:sz="0" w:space="0" w:color="auto"/>
      </w:divBdr>
    </w:div>
    <w:div w:id="16780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Lawrence - FS</dc:creator>
  <cp:keywords/>
  <dc:description/>
  <cp:lastModifiedBy>Johnny Hodges</cp:lastModifiedBy>
  <cp:revision>2</cp:revision>
  <dcterms:created xsi:type="dcterms:W3CDTF">2022-04-16T20:27:00Z</dcterms:created>
  <dcterms:modified xsi:type="dcterms:W3CDTF">2022-04-16T20:27:00Z</dcterms:modified>
</cp:coreProperties>
</file>