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E897CA" w14:textId="5E51C68E" w:rsidR="007A59D4" w:rsidRDefault="00AA2FAB" w:rsidP="00AA2FAB">
      <w:pPr>
        <w:pStyle w:val="Heading1"/>
      </w:pPr>
      <w:r>
        <w:t xml:space="preserve">Erläuterungstext zum </w:t>
      </w:r>
      <w:r w:rsidR="006A4E69">
        <w:t>Entscheidungskreis</w:t>
      </w:r>
    </w:p>
    <w:p w14:paraId="5F141DBC" w14:textId="77777777" w:rsidR="00AA2FAB" w:rsidRDefault="00AA2FAB" w:rsidP="00AA2FAB">
      <w:pPr>
        <w:pStyle w:val="NoSpacing"/>
        <w:jc w:val="both"/>
      </w:pPr>
      <w:r>
        <w:t>Autor: Martin Leiter</w:t>
      </w:r>
      <w:r w:rsidR="0093594E">
        <w:t>, AK AV</w:t>
      </w:r>
    </w:p>
    <w:p w14:paraId="21C5B128" w14:textId="10A5D170" w:rsidR="00AA2FAB" w:rsidRDefault="00AA2FAB" w:rsidP="00AA2FAB">
      <w:pPr>
        <w:pStyle w:val="NoSpacing"/>
        <w:jc w:val="both"/>
      </w:pPr>
      <w:r>
        <w:t>Version 00</w:t>
      </w:r>
      <w:r w:rsidR="0093594E">
        <w:t>2 vom 15</w:t>
      </w:r>
      <w:r>
        <w:t>.4.2020</w:t>
      </w:r>
    </w:p>
    <w:p w14:paraId="44606125" w14:textId="0CB6CF48" w:rsidR="006A4E69" w:rsidRDefault="006A4E69" w:rsidP="00AA2FAB">
      <w:pPr>
        <w:pStyle w:val="NoSpacing"/>
        <w:jc w:val="both"/>
      </w:pPr>
      <w:r>
        <w:t>Update 003 vom 16.2.2021 (</w:t>
      </w:r>
      <w:r w:rsidR="00496942">
        <w:t xml:space="preserve">Anpassung an den aktuellen </w:t>
      </w:r>
      <w:r w:rsidR="00496942" w:rsidRPr="00496942">
        <w:t>Entscheidungskreis</w:t>
      </w:r>
      <w:r w:rsidR="00496942">
        <w:t>)</w:t>
      </w:r>
    </w:p>
    <w:p w14:paraId="382A08AC" w14:textId="77777777" w:rsidR="00AA2FAB" w:rsidRDefault="00AA2FAB" w:rsidP="00AA2FAB">
      <w:pPr>
        <w:pStyle w:val="NoSpacing"/>
        <w:jc w:val="both"/>
      </w:pPr>
    </w:p>
    <w:p w14:paraId="3F9B90B7" w14:textId="2F591C59" w:rsidR="00AA2FAB" w:rsidRDefault="006A4E69" w:rsidP="00AA2FAB">
      <w:pPr>
        <w:pStyle w:val="NoSpacing"/>
        <w:jc w:val="both"/>
      </w:pPr>
      <w:r>
        <w:t>Der Entscheidungskreis</w:t>
      </w:r>
      <w:r w:rsidR="00AA2FAB">
        <w:t xml:space="preserve"> soll eine Hilfestellung bieten, um einschätzen zu können, ob eine vom Verantwortlichen und der betroffenen Person verschiedene Entität </w:t>
      </w:r>
      <w:r w:rsidR="00D2263C">
        <w:t>(diese wird in der Folge als „Dienstleister“ bezeichnet</w:t>
      </w:r>
      <w:r w:rsidR="00B44997">
        <w:t xml:space="preserve">, weil diese im Normalfall auf Basis eines </w:t>
      </w:r>
      <w:r w:rsidR="0093594E">
        <w:t>Dienstleistungsv</w:t>
      </w:r>
      <w:r w:rsidR="00B44997">
        <w:t>ertrages für den Verantwortlichen tätig wird</w:t>
      </w:r>
      <w:r w:rsidR="00D2263C">
        <w:t xml:space="preserve">) ein </w:t>
      </w:r>
      <w:r w:rsidR="00AA2FAB">
        <w:t xml:space="preserve">„Auftragsverarbeiter“ des Verantwortlichen im Sinne des Art 4 Z 8 ist und daher der Abschluss einer </w:t>
      </w:r>
      <w:proofErr w:type="spellStart"/>
      <w:r w:rsidR="00AA2FAB">
        <w:t>Auftragsverarbeitervereinbarung</w:t>
      </w:r>
      <w:proofErr w:type="spellEnd"/>
      <w:r w:rsidR="00AA2FAB">
        <w:t xml:space="preserve"> erforderlich ist.</w:t>
      </w:r>
    </w:p>
    <w:p w14:paraId="4E0B9B57" w14:textId="77777777" w:rsidR="00AA2FAB" w:rsidRDefault="00AA2FAB" w:rsidP="00AA2FAB">
      <w:pPr>
        <w:pStyle w:val="NoSpacing"/>
        <w:jc w:val="both"/>
      </w:pPr>
    </w:p>
    <w:p w14:paraId="2E5330CC" w14:textId="584DD120" w:rsidR="00AA2FAB" w:rsidRDefault="00AA2FAB" w:rsidP="00AA2FAB">
      <w:pPr>
        <w:pStyle w:val="NoSpacing"/>
        <w:jc w:val="both"/>
      </w:pPr>
      <w:r>
        <w:t xml:space="preserve">In weiterer Folge sollen die beschriebenen Schritte des </w:t>
      </w:r>
      <w:r w:rsidR="00496942" w:rsidRPr="00496942">
        <w:t>Entscheidungskreis</w:t>
      </w:r>
      <w:r w:rsidR="00496942">
        <w:t xml:space="preserve">es </w:t>
      </w:r>
      <w:r>
        <w:t>näher erläutert werden.</w:t>
      </w:r>
    </w:p>
    <w:p w14:paraId="4883D3EE" w14:textId="77777777" w:rsidR="00AA2FAB" w:rsidRDefault="00AA2FAB" w:rsidP="00AA2FAB">
      <w:pPr>
        <w:pStyle w:val="Heading2"/>
      </w:pPr>
      <w:r>
        <w:t>Schritt 1 – Personenbezug</w:t>
      </w:r>
    </w:p>
    <w:p w14:paraId="046638CA" w14:textId="77777777" w:rsidR="00B44997" w:rsidRDefault="00AA2FAB" w:rsidP="00AA2FAB">
      <w:pPr>
        <w:pStyle w:val="NoSpacing"/>
        <w:jc w:val="both"/>
      </w:pPr>
      <w:r>
        <w:t>Handelt es sich bei den Informationen, die Gegenstand der Verarbeitung sind, um personenbezogene Daten</w:t>
      </w:r>
      <w:r w:rsidR="00610EF5">
        <w:t xml:space="preserve"> im Sinne der DSGVO</w:t>
      </w:r>
      <w:r>
        <w:t xml:space="preserve">? </w:t>
      </w:r>
    </w:p>
    <w:p w14:paraId="609D635D" w14:textId="77777777" w:rsidR="00AA2FAB" w:rsidRDefault="00AA2FAB" w:rsidP="00AA2FAB">
      <w:pPr>
        <w:pStyle w:val="NoSpacing"/>
        <w:jc w:val="both"/>
      </w:pPr>
      <w:r>
        <w:t>Nur wenn dies der Fall ist, kann es sich überhaupt um Auftragsverarbeitung handeln. Die Verarbeitung von nicht personenbezogene</w:t>
      </w:r>
      <w:r w:rsidR="0093594E">
        <w:t>n</w:t>
      </w:r>
      <w:r>
        <w:t xml:space="preserve"> Daten (z.B. statistische Aussagen oder andere </w:t>
      </w:r>
      <w:r w:rsidR="00D2263C">
        <w:t>Informationen</w:t>
      </w:r>
      <w:r>
        <w:t>, die sich nicht auf eine einzelne bestimmte oder bestimmbare Person beziehen, findet nicht unter dem Regime der DSGVO statt und kann daher auch keine Auftrags</w:t>
      </w:r>
      <w:r w:rsidR="0093594E">
        <w:softHyphen/>
      </w:r>
      <w:r>
        <w:t>verarbeitung sein.</w:t>
      </w:r>
    </w:p>
    <w:p w14:paraId="10F9D9A7" w14:textId="77777777" w:rsidR="00D2263C" w:rsidRDefault="00AA2FAB" w:rsidP="00AA2FAB">
      <w:pPr>
        <w:pStyle w:val="NoSpacing"/>
        <w:jc w:val="both"/>
      </w:pPr>
      <w:r>
        <w:t>„Person“ bedeutet in diesem Zusammenhang immer „natürliche Person“. Das bedeutet, dass die Verwendung von Dat</w:t>
      </w:r>
      <w:r w:rsidR="00C66AB2">
        <w:t>e</w:t>
      </w:r>
      <w:r>
        <w:t xml:space="preserve">n zu juristischen Personen in der Regel ebenfalls </w:t>
      </w:r>
      <w:r w:rsidR="00C66AB2">
        <w:t>nicht</w:t>
      </w:r>
      <w:r>
        <w:t xml:space="preserve"> datenschutzrelevant ist. </w:t>
      </w:r>
    </w:p>
    <w:p w14:paraId="5C1FA09A" w14:textId="77777777" w:rsidR="00AA2FAB" w:rsidRDefault="00AA2FAB" w:rsidP="00AA2FAB">
      <w:pPr>
        <w:pStyle w:val="NoSpacing"/>
        <w:jc w:val="both"/>
      </w:pPr>
      <w:r>
        <w:t xml:space="preserve">Achtung: oft bilden Aussagen zu juristischen </w:t>
      </w:r>
      <w:r w:rsidR="00C66AB2">
        <w:t>P</w:t>
      </w:r>
      <w:r>
        <w:t>ersonen auch Verhältnisse von natürlichen Personen ab, z.B. von E</w:t>
      </w:r>
      <w:r w:rsidR="00E77524">
        <w:t>igentümern und Ansprechpartnern.</w:t>
      </w:r>
      <w:r>
        <w:t xml:space="preserve"> Ist dies der Fall, ist Personen</w:t>
      </w:r>
      <w:r w:rsidR="00E77524">
        <w:softHyphen/>
      </w:r>
      <w:r>
        <w:t>bezug gegeben</w:t>
      </w:r>
      <w:r w:rsidR="00610EF5">
        <w:rPr>
          <w:rStyle w:val="FootnoteReference"/>
        </w:rPr>
        <w:footnoteReference w:id="1"/>
      </w:r>
      <w:r>
        <w:t>.</w:t>
      </w:r>
    </w:p>
    <w:p w14:paraId="446111FB" w14:textId="77777777" w:rsidR="00AA2FAB" w:rsidRDefault="00C66AB2" w:rsidP="00AA2FAB">
      <w:pPr>
        <w:pStyle w:val="Heading2"/>
      </w:pPr>
      <w:r>
        <w:t>Schritt 2</w:t>
      </w:r>
      <w:r w:rsidR="00AA2FAB">
        <w:t xml:space="preserve"> – Vertragsgegenstand</w:t>
      </w:r>
    </w:p>
    <w:p w14:paraId="5AFBA273" w14:textId="77777777" w:rsidR="00B44997" w:rsidRDefault="00B44997" w:rsidP="00AA2FAB">
      <w:pPr>
        <w:pStyle w:val="NoSpacing"/>
        <w:jc w:val="both"/>
      </w:pPr>
      <w:r>
        <w:t>Hat der Vertrag zwischen dem Verantwortlichen und dem Dienstleister</w:t>
      </w:r>
      <w:r w:rsidR="00C66AB2">
        <w:t xml:space="preserve"> </w:t>
      </w:r>
      <w:r w:rsidR="00AA2FAB">
        <w:t>die Verarbeitung personenbezogene</w:t>
      </w:r>
      <w:r w:rsidR="0093594E">
        <w:t>r</w:t>
      </w:r>
      <w:r w:rsidR="00AA2FAB">
        <w:t xml:space="preserve"> Daten zu</w:t>
      </w:r>
      <w:r w:rsidR="00610EF5">
        <w:t>m</w:t>
      </w:r>
      <w:r w:rsidR="00AA2FAB">
        <w:t xml:space="preserve"> Inhalt</w:t>
      </w:r>
      <w:r>
        <w:t>?</w:t>
      </w:r>
    </w:p>
    <w:p w14:paraId="0293EE92" w14:textId="77777777" w:rsidR="00AA2FAB" w:rsidRDefault="0093594E" w:rsidP="00AA2FAB">
      <w:pPr>
        <w:pStyle w:val="NoSpacing"/>
        <w:jc w:val="both"/>
      </w:pPr>
      <w:r>
        <w:t>Nur wenn dies der Fall ist (und es sich bei der Verarbeitung nicht um eine bloße Nebentätigkeit</w:t>
      </w:r>
      <w:r>
        <w:rPr>
          <w:rStyle w:val="FootnoteReference"/>
        </w:rPr>
        <w:footnoteReference w:id="2"/>
      </w:r>
      <w:r>
        <w:t xml:space="preserve"> handelt)</w:t>
      </w:r>
      <w:r w:rsidR="00C66AB2">
        <w:t xml:space="preserve"> liegt Auftragsverarbeitung vor. </w:t>
      </w:r>
      <w:r w:rsidR="00D2263C">
        <w:t>Das bedeutet, dass die Verarbeitung personenbezogener Daten (auch) Gegenstand</w:t>
      </w:r>
      <w:r w:rsidR="00E77524">
        <w:t xml:space="preserve"> des Auftrages, d.h. der dahinter</w:t>
      </w:r>
      <w:r w:rsidR="00D2263C">
        <w:t>stehenden zivilrechtlichen Vereinbarung sein muss.</w:t>
      </w:r>
    </w:p>
    <w:p w14:paraId="003413E3" w14:textId="77777777" w:rsidR="00D2263C" w:rsidRDefault="00D2263C" w:rsidP="00AA2FAB">
      <w:pPr>
        <w:pStyle w:val="NoSpacing"/>
        <w:jc w:val="both"/>
      </w:pPr>
      <w:r>
        <w:t xml:space="preserve">Achtung: da auch das „Vernichten“ eine Verarbeitung ist, wird in der Regel auch die Datenvernichtung (z.B. die physische Vernichtung von Datenträgern durch einen Dienstleister) </w:t>
      </w:r>
      <w:proofErr w:type="spellStart"/>
      <w:r>
        <w:t>idR</w:t>
      </w:r>
      <w:proofErr w:type="spellEnd"/>
      <w:r>
        <w:t xml:space="preserve"> als Auftragsverarbeitung betrachtet.</w:t>
      </w:r>
    </w:p>
    <w:p w14:paraId="68EB8B76" w14:textId="77777777" w:rsidR="00D2263C" w:rsidRDefault="00D2263C" w:rsidP="00D2263C">
      <w:pPr>
        <w:pStyle w:val="Heading2"/>
      </w:pPr>
      <w:r>
        <w:lastRenderedPageBreak/>
        <w:t>Schritt 3 – Weiterleitung</w:t>
      </w:r>
    </w:p>
    <w:p w14:paraId="2F520DD9" w14:textId="77777777" w:rsidR="00B44997" w:rsidRDefault="00B44997" w:rsidP="00D2263C">
      <w:pPr>
        <w:pStyle w:val="NoSpacing"/>
        <w:jc w:val="both"/>
      </w:pPr>
      <w:r>
        <w:t>Werden die Daten von Dienstleister nur weitergeleitet, ohne dass er selbst beauftragt ist, in die Daten Einsicht zu nehmen?</w:t>
      </w:r>
    </w:p>
    <w:p w14:paraId="79E9FB32" w14:textId="77777777" w:rsidR="00AA2FAB" w:rsidRDefault="00D2263C" w:rsidP="00D2263C">
      <w:pPr>
        <w:pStyle w:val="NoSpacing"/>
        <w:jc w:val="both"/>
      </w:pPr>
      <w:r>
        <w:t>Hier wird geprüft, ob sich durch den Einsatz des Dienstleisters der „Kreis der Wissenden“ erweitert. Ist dies nicht der Fall und wird durch eine bloße Weiterleitung von Daten dieser Kreis nicht erweitert (auch nicht auf den Dienstleister selbst), dann liegt keine Auftragsverarbeitung vor.</w:t>
      </w:r>
    </w:p>
    <w:p w14:paraId="2056A44D" w14:textId="77777777" w:rsidR="00D2263C" w:rsidRDefault="00AF3A1C" w:rsidP="00D2263C">
      <w:pPr>
        <w:pStyle w:val="NoSpacing"/>
        <w:jc w:val="both"/>
      </w:pPr>
      <w:r>
        <w:t>Achtung</w:t>
      </w:r>
      <w:r w:rsidR="00D2263C">
        <w:t xml:space="preserve">: ist der „Weiterleitungs-Dienstleister“ auch mit Wartungsarbeiten beauftragt, </w:t>
      </w:r>
      <w:r w:rsidR="00DC17F8">
        <w:t xml:space="preserve">im Rahmen derer </w:t>
      </w:r>
      <w:r w:rsidR="00D2263C">
        <w:t xml:space="preserve">er </w:t>
      </w:r>
      <w:r w:rsidR="00DC17F8">
        <w:t xml:space="preserve">z.B. </w:t>
      </w:r>
      <w:r w:rsidR="00D2263C">
        <w:t xml:space="preserve">im Störungsfall personenbezogene Daten </w:t>
      </w:r>
      <w:r w:rsidR="00DC17F8">
        <w:t>verarbeiten darf</w:t>
      </w:r>
      <w:r w:rsidR="00D2263C">
        <w:t>, ist er jedenfalls Auftragsverarbeiter.</w:t>
      </w:r>
    </w:p>
    <w:p w14:paraId="36E9F09F" w14:textId="77777777" w:rsidR="00D2263C" w:rsidRDefault="00411D9A" w:rsidP="00D2263C">
      <w:pPr>
        <w:pStyle w:val="Heading2"/>
      </w:pPr>
      <w:r>
        <w:t>Schritt 4 – Normen</w:t>
      </w:r>
      <w:r w:rsidR="00D2263C">
        <w:t>, Judikatur</w:t>
      </w:r>
    </w:p>
    <w:p w14:paraId="47C0C4A6" w14:textId="77777777" w:rsidR="00B44997" w:rsidRDefault="00B44997" w:rsidP="00850130">
      <w:pPr>
        <w:pStyle w:val="NoSpacing"/>
        <w:jc w:val="both"/>
      </w:pPr>
      <w:r>
        <w:t>Gibt es Sondervorschriften für die konkrete Verarbeitungssituation?</w:t>
      </w:r>
    </w:p>
    <w:p w14:paraId="4944F9AF" w14:textId="77777777" w:rsidR="00850130" w:rsidRDefault="00D2263C" w:rsidP="00850130">
      <w:pPr>
        <w:pStyle w:val="NoSpacing"/>
        <w:jc w:val="both"/>
      </w:pPr>
      <w:r>
        <w:t xml:space="preserve">In einigen Fällen regeln eigene Normen oder Verhaltensregeln nach Art 40 DSGVO </w:t>
      </w:r>
      <w:r w:rsidR="00850130">
        <w:t>die datenschutzrechtliche Zuständigkeit und damit auch insbesondere in bestimmten Zusammenhängen den „Verantwortlichen“ nach Art 4 Z 7 DSGVO, z.B. für die Ausübung des Gewerbes der Adressverlage und Direktmarketingunternehmen gem. § 151 GewO 1994. In diesen Verhaltensregeln wird auch die datenschutzrechtliche Rollenverteilung zwischen Direktmarketingunternehmen und Kunden bei der Verwendung von Marketingadressen festgelegt.</w:t>
      </w:r>
    </w:p>
    <w:p w14:paraId="762B7F32" w14:textId="77777777" w:rsidR="00850130" w:rsidRDefault="00850130" w:rsidP="00850130">
      <w:pPr>
        <w:pStyle w:val="NoSpacing"/>
        <w:jc w:val="both"/>
      </w:pPr>
      <w:r>
        <w:t>In anderen Fällen existiert Rechtsprechung der Datenschutzbehörde zur Frage der Auftragsverarbeitung, beispielsweise zur Tätigkeit von Rechtsanwälten</w:t>
      </w:r>
      <w:r w:rsidR="00411D9A">
        <w:rPr>
          <w:rStyle w:val="FootnoteReference"/>
        </w:rPr>
        <w:footnoteReference w:id="3"/>
      </w:r>
      <w:r>
        <w:t>, Steuerberatern</w:t>
      </w:r>
      <w:r w:rsidR="00411D9A">
        <w:rPr>
          <w:rStyle w:val="FootnoteReference"/>
        </w:rPr>
        <w:footnoteReference w:id="4"/>
      </w:r>
      <w:r>
        <w:t>, Inkassounternehmen</w:t>
      </w:r>
      <w:r w:rsidR="00411D9A">
        <w:rPr>
          <w:rStyle w:val="FootnoteReference"/>
        </w:rPr>
        <w:footnoteReference w:id="5"/>
      </w:r>
      <w:r>
        <w:t xml:space="preserve"> oder Kreditauskunfteien</w:t>
      </w:r>
      <w:r w:rsidR="00411D9A">
        <w:rPr>
          <w:rStyle w:val="FootnoteReference"/>
        </w:rPr>
        <w:footnoteReference w:id="6"/>
      </w:r>
      <w:r>
        <w:t>.</w:t>
      </w:r>
    </w:p>
    <w:p w14:paraId="7DBB8C15" w14:textId="77777777" w:rsidR="00850130" w:rsidRDefault="00AF3A1C" w:rsidP="00AF3A1C">
      <w:pPr>
        <w:pStyle w:val="Heading2"/>
      </w:pPr>
      <w:r>
        <w:t>Schritt 5 – Zwecke</w:t>
      </w:r>
    </w:p>
    <w:p w14:paraId="1EFA09A0" w14:textId="77777777" w:rsidR="00B44997" w:rsidRDefault="00B44997" w:rsidP="00AA2FAB">
      <w:pPr>
        <w:pStyle w:val="NoSpacing"/>
        <w:jc w:val="both"/>
      </w:pPr>
      <w:r>
        <w:t>Wer legt die Zwecke der Verarbeitung fest?</w:t>
      </w:r>
    </w:p>
    <w:p w14:paraId="79500CAC" w14:textId="77777777" w:rsidR="00AA2FAB" w:rsidRDefault="00AF3A1C" w:rsidP="00AA2FAB">
      <w:pPr>
        <w:pStyle w:val="NoSpacing"/>
        <w:jc w:val="both"/>
      </w:pPr>
      <w:r>
        <w:t>Jede Verarbeitung von Daten geschieht zu einem Zweck</w:t>
      </w:r>
      <w:r w:rsidR="00FE3697">
        <w:t xml:space="preserve"> („Warum“ werden die Daten verarbeitet?)</w:t>
      </w:r>
      <w:r>
        <w:t xml:space="preserve">, </w:t>
      </w:r>
      <w:proofErr w:type="spellStart"/>
      <w:r>
        <w:t>dh</w:t>
      </w:r>
      <w:proofErr w:type="spellEnd"/>
      <w:r>
        <w:t xml:space="preserve"> es soll mit der Verarbeitung ein Ziel erreicht werden. Dieser Zweck kann die Steuerung einer anderen Tätigkeit sein, wie z.B. der Versand eines Poststückes, oder die Herstellung eines Zustandes oder die Unterstützung eines anderen Vorhabens z.B. der Überweisung von Gehältern an Mitarbeiter.</w:t>
      </w:r>
    </w:p>
    <w:p w14:paraId="0F03229D" w14:textId="77777777" w:rsidR="00AF3A1C" w:rsidRDefault="00AF3A1C" w:rsidP="00AA2FAB">
      <w:pPr>
        <w:pStyle w:val="NoSpacing"/>
        <w:jc w:val="both"/>
      </w:pPr>
      <w:r>
        <w:t xml:space="preserve">Oft haben Verarbeitungen mehrere Zwecke, z.B. dienen Kundendatenbanken einerseits dem Zweck, Kunden mit Waren oder Leistungen bedienen und diese abrechnen zu können, aber auch dem Zweck, </w:t>
      </w:r>
      <w:r w:rsidR="00C4559B">
        <w:t>M</w:t>
      </w:r>
      <w:r>
        <w:t>arket</w:t>
      </w:r>
      <w:r w:rsidR="00C4559B">
        <w:t>ingmaß</w:t>
      </w:r>
      <w:r>
        <w:t xml:space="preserve">nahmen zu steuern. Klarerweise </w:t>
      </w:r>
      <w:r w:rsidR="00C4559B">
        <w:t>muss es für jeden d</w:t>
      </w:r>
      <w:r>
        <w:t>ieser Zwecke eine (</w:t>
      </w:r>
      <w:proofErr w:type="spellStart"/>
      <w:r>
        <w:t>ggfs</w:t>
      </w:r>
      <w:proofErr w:type="spellEnd"/>
      <w:r>
        <w:t xml:space="preserve"> unterschiedliche) Rechtgrundlage geben.</w:t>
      </w:r>
    </w:p>
    <w:p w14:paraId="0653ABE4" w14:textId="77777777" w:rsidR="00C4559B" w:rsidRDefault="00C4559B" w:rsidP="00AA2FAB">
      <w:pPr>
        <w:pStyle w:val="NoSpacing"/>
        <w:jc w:val="both"/>
      </w:pPr>
      <w:r>
        <w:t>Wenn nun der Dienstleister (</w:t>
      </w:r>
      <w:proofErr w:type="spellStart"/>
      <w:r>
        <w:t>ggfs</w:t>
      </w:r>
      <w:proofErr w:type="spellEnd"/>
      <w:r>
        <w:t xml:space="preserve"> gemeinsam mit dem Verantwortliche) über einen dieser Zwecke entscheiden kann oder gar bereits entschieden hat (z.B. die von ihm verwendeten Daten für eigene Marketingzwecke verwenden darf), so handelt es sich beim Dienstleister </w:t>
      </w:r>
      <w:r w:rsidR="00FE3697">
        <w:t xml:space="preserve">(jedenfalls im Rahmen dieser Tätigkeit) </w:t>
      </w:r>
      <w:r>
        <w:t>NICHT um einen Auftragsverarbeiter.</w:t>
      </w:r>
    </w:p>
    <w:p w14:paraId="52F60EE9" w14:textId="77777777" w:rsidR="00FE3697" w:rsidRDefault="00C4559B" w:rsidP="00AA2FAB">
      <w:pPr>
        <w:pStyle w:val="NoSpacing"/>
        <w:jc w:val="both"/>
      </w:pPr>
      <w:r>
        <w:t xml:space="preserve">Achtung: wenn der </w:t>
      </w:r>
      <w:r w:rsidR="00FE3697">
        <w:t xml:space="preserve">Dienstleister </w:t>
      </w:r>
      <w:r>
        <w:t xml:space="preserve">kein Auftragsverarbeiter </w:t>
      </w:r>
      <w:proofErr w:type="spellStart"/>
      <w:r>
        <w:t>iSd</w:t>
      </w:r>
      <w:proofErr w:type="spellEnd"/>
      <w:r>
        <w:t xml:space="preserve"> Art 28 DSGVO ist, ist zwar der Abschluss einer entsprechenden Vereinbarung nicht erforderlich, es bedarf aber für diese Verwendung einer Rechtsgrundlage nach Art 6 DSGVO</w:t>
      </w:r>
      <w:r w:rsidR="00F45C01">
        <w:t>.</w:t>
      </w:r>
      <w:r w:rsidR="00FE3697">
        <w:t xml:space="preserve"> Überdies kann der Abschluss einer Geheimhaltungsvereinbarung geboten sein.</w:t>
      </w:r>
    </w:p>
    <w:p w14:paraId="44A6EC9E" w14:textId="77777777" w:rsidR="00F45C01" w:rsidRDefault="00F45C01" w:rsidP="00F45C01">
      <w:pPr>
        <w:pStyle w:val="Heading2"/>
      </w:pPr>
      <w:r>
        <w:t>Schritt 6 – Mittel</w:t>
      </w:r>
    </w:p>
    <w:p w14:paraId="52D0396C" w14:textId="77777777" w:rsidR="00B44997" w:rsidRDefault="00B44997" w:rsidP="006C02A1">
      <w:pPr>
        <w:pStyle w:val="NoSpacing"/>
        <w:jc w:val="both"/>
      </w:pPr>
      <w:r>
        <w:t>Wer bestimmt die wesentlichen Mittel der Verarbeitung?</w:t>
      </w:r>
    </w:p>
    <w:p w14:paraId="1937BDC7" w14:textId="77777777" w:rsidR="006C02A1" w:rsidRDefault="00F45C01" w:rsidP="006C02A1">
      <w:pPr>
        <w:pStyle w:val="NoSpacing"/>
        <w:jc w:val="both"/>
      </w:pPr>
      <w:r>
        <w:t>Jede Verarbeitung</w:t>
      </w:r>
      <w:r w:rsidR="001E58AD">
        <w:t xml:space="preserve"> wird geprägt durch ihre „Mittel“, </w:t>
      </w:r>
      <w:proofErr w:type="spellStart"/>
      <w:r w:rsidR="001E58AD">
        <w:t>dh</w:t>
      </w:r>
      <w:proofErr w:type="spellEnd"/>
      <w:r w:rsidR="001E58AD">
        <w:t xml:space="preserve"> die „Art und Weise, wie ein Ergebnis oder Ziel erreicht wird“. </w:t>
      </w:r>
      <w:r w:rsidR="006C02A1">
        <w:t xml:space="preserve">Der Begriff „Mittel“ bezeichnet nicht nur die technischen Methoden für die Verarbeitung personenbezogener Daten, sondern auch das „Wie“ der Verarbeitung; dazu </w:t>
      </w:r>
      <w:r w:rsidR="006C02A1">
        <w:lastRenderedPageBreak/>
        <w:t>gehören Fragen wie „Welche Daten werden verarbeitet?“, „Welche Dritte haben Zugang zu diesen Daten?“, „Wann werden Daten gelöscht?“ usw.</w:t>
      </w:r>
      <w:r w:rsidR="006C02A1" w:rsidRPr="006C02A1">
        <w:rPr>
          <w:rStyle w:val="FootnoteReference"/>
        </w:rPr>
        <w:t xml:space="preserve"> </w:t>
      </w:r>
      <w:r w:rsidR="006C02A1">
        <w:rPr>
          <w:rStyle w:val="FootnoteReference"/>
        </w:rPr>
        <w:footnoteReference w:id="7"/>
      </w:r>
      <w:r w:rsidR="006C02A1">
        <w:t>.</w:t>
      </w:r>
    </w:p>
    <w:p w14:paraId="0A783118" w14:textId="77777777" w:rsidR="007C21F2" w:rsidRDefault="001E58AD" w:rsidP="006C02A1">
      <w:pPr>
        <w:pStyle w:val="NoSpacing"/>
        <w:jc w:val="both"/>
      </w:pPr>
      <w:r>
        <w:t xml:space="preserve">Wer über die wesentlichen Mittel der Verarbeitung entscheidet, ist selbst Verantwortlicher, kann aber seinem Auftragsverarbeiter Spielräume </w:t>
      </w:r>
      <w:r w:rsidR="006C02A1">
        <w:t xml:space="preserve">bei der Auswahl der Mittel einräumen. Dieser Spielraum kann betreffend den Einsatz technischer Mittel sehr weit sein, z.B. beim </w:t>
      </w:r>
      <w:r w:rsidR="007C21F2">
        <w:t>externen Marketing</w:t>
      </w:r>
      <w:r w:rsidR="006C02A1">
        <w:t xml:space="preserve">, wo der Auftragsverarbeiter </w:t>
      </w:r>
      <w:r w:rsidR="007C21F2">
        <w:t>je nach zivilrechtlicher Vereinbarung</w:t>
      </w:r>
      <w:r w:rsidR="006C02A1">
        <w:t xml:space="preserve"> über die </w:t>
      </w:r>
      <w:r w:rsidR="007C21F2">
        <w:t>eingesetzten</w:t>
      </w:r>
      <w:r w:rsidR="006C02A1">
        <w:t xml:space="preserve"> Mittel entscheidet. </w:t>
      </w:r>
    </w:p>
    <w:p w14:paraId="4000293B" w14:textId="77777777" w:rsidR="00F45C01" w:rsidRDefault="006C02A1" w:rsidP="00AA2FAB">
      <w:pPr>
        <w:pStyle w:val="NoSpacing"/>
        <w:jc w:val="both"/>
      </w:pPr>
      <w:r>
        <w:t>Entscheidet der Verantwortliche nicht</w:t>
      </w:r>
      <w:r w:rsidR="007C21F2">
        <w:t xml:space="preserve"> allein</w:t>
      </w:r>
      <w:r>
        <w:t xml:space="preserve"> über die technischen Mittel, so sollte er doch vollständig darüber informiert sein.</w:t>
      </w:r>
      <w:r w:rsidR="007C21F2">
        <w:t xml:space="preserve"> </w:t>
      </w:r>
      <w:r>
        <w:t>Wenn ein Dienstleister dagegen Einfluss auf den Zweck hat, ist er selbst Verantwortlicher (s.o.).</w:t>
      </w:r>
    </w:p>
    <w:p w14:paraId="613A8929" w14:textId="77777777" w:rsidR="00AF3A1C" w:rsidRDefault="00861E29" w:rsidP="00861E29">
      <w:pPr>
        <w:pStyle w:val="Heading2"/>
      </w:pPr>
      <w:r>
        <w:t xml:space="preserve">Schritt 7 - </w:t>
      </w:r>
      <w:r w:rsidR="006C02A1">
        <w:t>Nutzungsrecht</w:t>
      </w:r>
    </w:p>
    <w:p w14:paraId="1DACC3BC" w14:textId="77777777" w:rsidR="00B44997" w:rsidRDefault="00B44997" w:rsidP="00AA2FAB">
      <w:pPr>
        <w:pStyle w:val="NoSpacing"/>
        <w:jc w:val="both"/>
      </w:pPr>
      <w:r>
        <w:t>Darf der Dienstleister die Daten zu eigenen Zwecken nutzen?</w:t>
      </w:r>
    </w:p>
    <w:p w14:paraId="07DDD4F9" w14:textId="77777777" w:rsidR="006C02A1" w:rsidRDefault="006C02A1" w:rsidP="00AA2FAB">
      <w:pPr>
        <w:pStyle w:val="NoSpacing"/>
        <w:jc w:val="both"/>
      </w:pPr>
      <w:r>
        <w:t>Hat der Dienstleister ein Recht Daten zu nutzen, d</w:t>
      </w:r>
      <w:r w:rsidR="007C21F2">
        <w:t>.</w:t>
      </w:r>
      <w:r>
        <w:t>h</w:t>
      </w:r>
      <w:r w:rsidR="007C21F2">
        <w:t>.</w:t>
      </w:r>
      <w:r>
        <w:t xml:space="preserve"> zu eigenen bzw</w:t>
      </w:r>
      <w:r w:rsidR="007C21F2">
        <w:t>.</w:t>
      </w:r>
      <w:r>
        <w:t xml:space="preserve"> von ihm definierten Zwecken </w:t>
      </w:r>
      <w:r w:rsidR="00861E29">
        <w:t xml:space="preserve">für sich oder einen Dritten </w:t>
      </w:r>
      <w:r>
        <w:t xml:space="preserve">zu verwenden, ist er </w:t>
      </w:r>
      <w:r w:rsidR="006C6775">
        <w:t xml:space="preserve">für diesen Verarbeitungsvorgang </w:t>
      </w:r>
      <w:r>
        <w:t>nicht Auftragsverarbeiter, sondern selbst Verantwortlicher – vgl</w:t>
      </w:r>
      <w:r w:rsidR="007C21F2">
        <w:t>.</w:t>
      </w:r>
      <w:r>
        <w:t xml:space="preserve"> dazu oben unter </w:t>
      </w:r>
      <w:r w:rsidR="00861E29">
        <w:t xml:space="preserve">Schritt 5 – Zwecke. </w:t>
      </w:r>
    </w:p>
    <w:p w14:paraId="6440077B" w14:textId="77777777" w:rsidR="00861E29" w:rsidRDefault="00861E29" w:rsidP="00AA2FAB">
      <w:pPr>
        <w:pStyle w:val="NoSpacing"/>
        <w:jc w:val="both"/>
      </w:pPr>
      <w:r>
        <w:t>Das gilt nicht für die Nutzung eines anonymisierten Datenbestandes oder für statistische Auswertungen, beispielsweise im zur Verbesserung der Produkte des Dienstleisters, dies deshalb, weil anonymisierte Daten (d</w:t>
      </w:r>
      <w:r w:rsidR="007C21F2">
        <w:t>.</w:t>
      </w:r>
      <w:r>
        <w:t>h</w:t>
      </w:r>
      <w:r w:rsidR="007C21F2">
        <w:t>.</w:t>
      </w:r>
      <w:r>
        <w:t xml:space="preserve"> solchen, die auf keinen Fall einer bestimmten oder bestimmbaren Person zugeordnet werden können) nicht dem Datenschutzrecht unterliegen.</w:t>
      </w:r>
    </w:p>
    <w:p w14:paraId="076BEE47" w14:textId="77777777" w:rsidR="006C02A1" w:rsidRDefault="00861E29" w:rsidP="00AA2FAB">
      <w:pPr>
        <w:pStyle w:val="NoSpacing"/>
        <w:jc w:val="both"/>
      </w:pPr>
      <w:r>
        <w:t xml:space="preserve">Achtung: das bedeutet nicht, dass der Dienstleister auch zivilrechtlich die Befugnis hat, solche (anonymisierten) Auswertungen durchzuführen. Ob dies gestattet ist oder nicht, sollte sich aus dem </w:t>
      </w:r>
      <w:r w:rsidR="006C6775">
        <w:t>Dienstleistungsvertrag</w:t>
      </w:r>
      <w:r>
        <w:t xml:space="preserve"> erschließen.</w:t>
      </w:r>
    </w:p>
    <w:p w14:paraId="52A0BF2E" w14:textId="77777777" w:rsidR="00A45182" w:rsidRDefault="00A45182" w:rsidP="00A45182">
      <w:pPr>
        <w:pStyle w:val="Heading2"/>
      </w:pPr>
      <w:r>
        <w:t>Schritt 8 - Betroffenenrechte</w:t>
      </w:r>
    </w:p>
    <w:p w14:paraId="7BD33A0C" w14:textId="77777777" w:rsidR="00B44997" w:rsidRDefault="00B44997" w:rsidP="00AA2FAB">
      <w:pPr>
        <w:pStyle w:val="NoSpacing"/>
        <w:jc w:val="both"/>
      </w:pPr>
      <w:r>
        <w:t>Wer steht der betroffene Person Rede und Antwort?</w:t>
      </w:r>
    </w:p>
    <w:p w14:paraId="7166E59A" w14:textId="77777777" w:rsidR="00A45182" w:rsidRDefault="00A45182" w:rsidP="00AA2FAB">
      <w:pPr>
        <w:pStyle w:val="NoSpacing"/>
        <w:jc w:val="both"/>
      </w:pPr>
      <w:r>
        <w:t xml:space="preserve">Zentrales Element der Verpflichtungen des Verantwortlichen ist die Wahrnehmung der Rechte der betroffenen Personen. Das bedeutet, dass </w:t>
      </w:r>
      <w:r w:rsidR="00B634A6">
        <w:t xml:space="preserve">es die Verpflichtung des </w:t>
      </w:r>
      <w:r>
        <w:t>Verantwortliche</w:t>
      </w:r>
      <w:r w:rsidR="00B634A6">
        <w:t>n darstellt,</w:t>
      </w:r>
      <w:r>
        <w:t xml:space="preserve"> betroffene Personen </w:t>
      </w:r>
      <w:r w:rsidR="00B634A6">
        <w:t>zu informieren</w:t>
      </w:r>
      <w:r>
        <w:t xml:space="preserve">, Auskunft aus Datenbeständen </w:t>
      </w:r>
      <w:r w:rsidR="00B634A6">
        <w:t>zu erteilen</w:t>
      </w:r>
      <w:r>
        <w:t xml:space="preserve"> sowie insbesondere über Datenlöschungen und –sperren </w:t>
      </w:r>
      <w:r w:rsidR="00B634A6">
        <w:t>zu entscheiden</w:t>
      </w:r>
      <w:r>
        <w:t>.</w:t>
      </w:r>
    </w:p>
    <w:p w14:paraId="13833FE8" w14:textId="77777777" w:rsidR="00A45182" w:rsidRDefault="00A45182" w:rsidP="00AA2FAB">
      <w:pPr>
        <w:pStyle w:val="NoSpacing"/>
        <w:jc w:val="both"/>
      </w:pPr>
      <w:r>
        <w:t>Der Verantwortliche kann vertraglich den Auftragsverarbeiter beauftragen, hier bestimmte Standardschritte durchzuführen, z.B. im Namen des Verantwortlichen Auskünfte zu erteilen</w:t>
      </w:r>
      <w:r w:rsidR="005A03A7">
        <w:rPr>
          <w:rStyle w:val="FootnoteReference"/>
        </w:rPr>
        <w:footnoteReference w:id="8"/>
      </w:r>
      <w:r>
        <w:t>.</w:t>
      </w:r>
    </w:p>
    <w:p w14:paraId="2D375D9B" w14:textId="77777777" w:rsidR="005A03A7" w:rsidRDefault="005A03A7" w:rsidP="00AA2FAB">
      <w:pPr>
        <w:pStyle w:val="NoSpacing"/>
        <w:jc w:val="both"/>
      </w:pPr>
      <w:r>
        <w:t xml:space="preserve">Kann der Dienstleister dagegen eigenständig entscheiden, wie im Falle einer Anfrage einer betroffenen Person mit dieser umgegangen wird, </w:t>
      </w:r>
      <w:proofErr w:type="spellStart"/>
      <w:r>
        <w:t>dh</w:t>
      </w:r>
      <w:proofErr w:type="spellEnd"/>
      <w:r>
        <w:t xml:space="preserve"> etwa bestimmen, welche </w:t>
      </w:r>
      <w:r w:rsidR="00B634A6">
        <w:t xml:space="preserve">Daten offengelegt werden und </w:t>
      </w:r>
      <w:r>
        <w:t xml:space="preserve">welche </w:t>
      </w:r>
      <w:r w:rsidR="00B634A6">
        <w:t>D</w:t>
      </w:r>
      <w:r>
        <w:t>aten antragsgemäß gelöscht werden</w:t>
      </w:r>
      <w:r w:rsidR="00B634A6">
        <w:t xml:space="preserve"> oder nicht</w:t>
      </w:r>
      <w:r>
        <w:t xml:space="preserve">, so spricht das dafür, dass es sich beim Dienstleister nicht um einen Auftragsverarbeiter, sondern um einen eigenständigen Verantwortlichen handelt, weil ihm eine Befugnis </w:t>
      </w:r>
      <w:r w:rsidR="00B634A6">
        <w:t>zukommt, über die V</w:t>
      </w:r>
      <w:r>
        <w:t>erarbeitun</w:t>
      </w:r>
      <w:r w:rsidR="00B634A6">
        <w:t>g von Daten selbst zu entscheid</w:t>
      </w:r>
      <w:r>
        <w:t>e</w:t>
      </w:r>
      <w:r w:rsidR="00B634A6">
        <w:t>n</w:t>
      </w:r>
      <w:r>
        <w:t>.</w:t>
      </w:r>
    </w:p>
    <w:p w14:paraId="400ED13C" w14:textId="77777777" w:rsidR="001D73AA" w:rsidRDefault="001D73AA" w:rsidP="001D73AA">
      <w:pPr>
        <w:pStyle w:val="Heading2"/>
      </w:pPr>
      <w:r>
        <w:t>Schritt 9 - Eindruck</w:t>
      </w:r>
    </w:p>
    <w:p w14:paraId="137DC10B" w14:textId="77777777" w:rsidR="00B44997" w:rsidRDefault="00B44997" w:rsidP="001D73AA">
      <w:pPr>
        <w:pStyle w:val="NoSpacing"/>
        <w:jc w:val="both"/>
      </w:pPr>
      <w:r>
        <w:t>Welchen Eindruck erweckt der Dienstleister nach außen?</w:t>
      </w:r>
    </w:p>
    <w:p w14:paraId="5A637918" w14:textId="77777777" w:rsidR="00B44997" w:rsidRDefault="001D73AA" w:rsidP="001D73AA">
      <w:pPr>
        <w:pStyle w:val="NoSpacing"/>
        <w:jc w:val="both"/>
      </w:pPr>
      <w:r>
        <w:t>Schließlich ist der Eindruck wichtig, den der Auftragsverarbeiter auf betroffenen Verkehrskreise, insbesondere betroffene Personen macht: tritt der Auftragsverarbeiter nach außen</w:t>
      </w:r>
      <w:r w:rsidR="00B44997">
        <w:t xml:space="preserve"> hi</w:t>
      </w:r>
      <w:r>
        <w:t xml:space="preserve">n so auf, als wäre er hinsichtlich des Datenbestandes verfügungs- oder entscheidungsberechtigt, so kann sich daraus ergeben, dass er selbst Verantwortlicher ist, </w:t>
      </w:r>
      <w:r w:rsidR="00B44997">
        <w:t>oder zumindest von der Da</w:t>
      </w:r>
      <w:r>
        <w:t>tenschutzbehörde als solche</w:t>
      </w:r>
      <w:r w:rsidR="00B44997">
        <w:t>r</w:t>
      </w:r>
      <w:r>
        <w:t xml:space="preserve"> betrachtet und zur Verantwortung gezogen wird</w:t>
      </w:r>
      <w:r w:rsidR="00B44997">
        <w:rPr>
          <w:rStyle w:val="FootnoteReference"/>
        </w:rPr>
        <w:footnoteReference w:id="9"/>
      </w:r>
      <w:r>
        <w:t xml:space="preserve">. </w:t>
      </w:r>
    </w:p>
    <w:p w14:paraId="35296D1A" w14:textId="77777777" w:rsidR="006C02A1" w:rsidRDefault="00B44997" w:rsidP="00AA2FAB">
      <w:pPr>
        <w:pStyle w:val="NoSpacing"/>
        <w:jc w:val="both"/>
      </w:pPr>
      <w:r>
        <w:lastRenderedPageBreak/>
        <w:t xml:space="preserve">Aus dem Prinzip von Treu und Glauben und aus dem Transparenzgebot ergibt sich, dass der Verantwortliche in gebührender Weise offenzulegen ist, insbesondere damit betroffenen Personen ihre sich aus dem Datenschutzrecht ergebenden Rechte geltend machen können. </w:t>
      </w:r>
    </w:p>
    <w:sectPr w:rsidR="006C02A1">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C4FBA5" w14:textId="77777777" w:rsidR="006C32F9" w:rsidRDefault="006C32F9" w:rsidP="00F75638">
      <w:r>
        <w:separator/>
      </w:r>
    </w:p>
  </w:endnote>
  <w:endnote w:type="continuationSeparator" w:id="0">
    <w:p w14:paraId="51BE9C53" w14:textId="77777777" w:rsidR="006C32F9" w:rsidRDefault="006C32F9" w:rsidP="00F75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244A16" w14:textId="77777777" w:rsidR="006A4E69" w:rsidRDefault="006A4E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C0E8AF" w14:textId="77777777" w:rsidR="00F75638" w:rsidRDefault="00F75638">
    <w:pPr>
      <w:pStyle w:val="Footer"/>
    </w:pPr>
    <w:r>
      <w:rPr>
        <w:noProof/>
        <w:lang w:eastAsia="de-AT"/>
      </w:rPr>
      <mc:AlternateContent>
        <mc:Choice Requires="wps">
          <w:drawing>
            <wp:anchor distT="0" distB="0" distL="114300" distR="114300" simplePos="0" relativeHeight="251659264" behindDoc="0" locked="0" layoutInCell="0" allowOverlap="1" wp14:anchorId="4B6CDB06" wp14:editId="2A1B5683">
              <wp:simplePos x="0" y="0"/>
              <wp:positionH relativeFrom="page">
                <wp:posOffset>0</wp:posOffset>
              </wp:positionH>
              <wp:positionV relativeFrom="page">
                <wp:posOffset>10234930</wp:posOffset>
              </wp:positionV>
              <wp:extent cx="7560310" cy="266700"/>
              <wp:effectExtent l="0" t="0" r="0" b="0"/>
              <wp:wrapNone/>
              <wp:docPr id="1" name="MSIPCMfd924b0a8b27ce1224ca64d4" descr="{&quot;HashCode&quot;:-978025806,&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E243A80" w14:textId="08A15CED" w:rsidR="00F75638" w:rsidRPr="00F75638" w:rsidRDefault="00F75638" w:rsidP="00F75638">
                          <w:pPr>
                            <w:rPr>
                              <w:rFonts w:ascii="Calibri" w:hAnsi="Calibri"/>
                              <w:color w:val="FFC000"/>
                              <w:sz w:val="20"/>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B6CDB06" id="_x0000_t202" coordsize="21600,21600" o:spt="202" path="m,l,21600r21600,l21600,xe">
              <v:stroke joinstyle="miter"/>
              <v:path gradientshapeok="t" o:connecttype="rect"/>
            </v:shapetype>
            <v:shape id="MSIPCMfd924b0a8b27ce1224ca64d4" o:spid="_x0000_s1026" type="#_x0000_t202" alt="{&quot;HashCode&quot;:-978025806,&quot;Height&quot;:841.0,&quot;Width&quot;:595.0,&quot;Placement&quot;:&quot;Footer&quot;,&quot;Index&quot;:&quot;Primary&quot;,&quot;Section&quot;:1,&quot;Top&quot;:0.0,&quot;Left&quot;:0.0}" style="position:absolute;margin-left:0;margin-top:805.9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" o:allowincell="f" filled="f" stroked="f" strokeweight=".5pt">
              <v:textbox inset="20pt,0,,0">
                <w:txbxContent>
                  <w:p w14:paraId="7E243A80" w14:textId="08A15CED" w:rsidR="00F75638" w:rsidRPr="00F75638" w:rsidRDefault="00F75638" w:rsidP="00F75638">
                    <w:pPr>
                      <w:rPr>
                        <w:rFonts w:ascii="Calibri" w:hAnsi="Calibri"/>
                        <w:color w:val="FFC000"/>
                        <w:sz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43A1D2" w14:textId="77777777" w:rsidR="006A4E69" w:rsidRDefault="006A4E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A210FF" w14:textId="77777777" w:rsidR="006C32F9" w:rsidRDefault="006C32F9" w:rsidP="00F75638">
      <w:r>
        <w:separator/>
      </w:r>
    </w:p>
  </w:footnote>
  <w:footnote w:type="continuationSeparator" w:id="0">
    <w:p w14:paraId="76A858B6" w14:textId="77777777" w:rsidR="006C32F9" w:rsidRDefault="006C32F9" w:rsidP="00F75638">
      <w:r>
        <w:continuationSeparator/>
      </w:r>
    </w:p>
  </w:footnote>
  <w:footnote w:id="1">
    <w:p w14:paraId="75D2B78D" w14:textId="77777777" w:rsidR="00610EF5" w:rsidRPr="00E77524" w:rsidRDefault="00610EF5" w:rsidP="00E77524">
      <w:pPr>
        <w:pStyle w:val="FootnoteText"/>
        <w:jc w:val="both"/>
        <w:rPr>
          <w:sz w:val="16"/>
          <w:szCs w:val="16"/>
        </w:rPr>
      </w:pPr>
      <w:r>
        <w:rPr>
          <w:rStyle w:val="FootnoteReference"/>
        </w:rPr>
        <w:footnoteRef/>
      </w:r>
      <w:r>
        <w:t xml:space="preserve"> </w:t>
      </w:r>
      <w:r w:rsidRPr="00E77524">
        <w:rPr>
          <w:sz w:val="16"/>
          <w:szCs w:val="16"/>
        </w:rPr>
        <w:t>EuGH</w:t>
      </w:r>
      <w:r w:rsidR="00E77524" w:rsidRPr="00E77524">
        <w:rPr>
          <w:sz w:val="16"/>
          <w:szCs w:val="16"/>
        </w:rPr>
        <w:t xml:space="preserve"> C</w:t>
      </w:r>
      <w:r w:rsidR="00E77524" w:rsidRPr="00E77524">
        <w:rPr>
          <w:sz w:val="16"/>
          <w:szCs w:val="16"/>
        </w:rPr>
        <w:noBreakHyphen/>
        <w:t>92/09 und C</w:t>
      </w:r>
      <w:r w:rsidR="00E77524" w:rsidRPr="00E77524">
        <w:rPr>
          <w:sz w:val="16"/>
          <w:szCs w:val="16"/>
        </w:rPr>
        <w:noBreakHyphen/>
        <w:t>93/09 vom 9.11.2010: hier hat</w:t>
      </w:r>
      <w:r w:rsidR="00E77524">
        <w:rPr>
          <w:sz w:val="16"/>
          <w:szCs w:val="16"/>
        </w:rPr>
        <w:t>te der EuGH die Anwendbarkeit von Datenschutzrec</w:t>
      </w:r>
      <w:r w:rsidR="00E77524" w:rsidRPr="00E77524">
        <w:rPr>
          <w:sz w:val="16"/>
          <w:szCs w:val="16"/>
        </w:rPr>
        <w:t xml:space="preserve">ht bejaht, </w:t>
      </w:r>
      <w:r w:rsidR="00E77524">
        <w:rPr>
          <w:sz w:val="16"/>
          <w:szCs w:val="16"/>
        </w:rPr>
        <w:t>wenn</w:t>
      </w:r>
      <w:r w:rsidR="00E77524" w:rsidRPr="00E77524">
        <w:rPr>
          <w:sz w:val="16"/>
          <w:szCs w:val="16"/>
        </w:rPr>
        <w:t xml:space="preserve"> </w:t>
      </w:r>
      <w:r w:rsidR="00E77524">
        <w:rPr>
          <w:sz w:val="16"/>
          <w:szCs w:val="16"/>
        </w:rPr>
        <w:t xml:space="preserve">EU-Beihilfen an </w:t>
      </w:r>
      <w:r w:rsidR="00E77524" w:rsidRPr="00E77524">
        <w:rPr>
          <w:sz w:val="16"/>
          <w:szCs w:val="16"/>
        </w:rPr>
        <w:t>juristische Personen</w:t>
      </w:r>
      <w:r w:rsidR="00E77524">
        <w:rPr>
          <w:sz w:val="16"/>
          <w:szCs w:val="16"/>
        </w:rPr>
        <w:t>,</w:t>
      </w:r>
      <w:r w:rsidR="00E77524" w:rsidRPr="00E77524">
        <w:rPr>
          <w:sz w:val="16"/>
          <w:szCs w:val="16"/>
        </w:rPr>
        <w:t xml:space="preserve"> die den Namen von natürliche Personen </w:t>
      </w:r>
      <w:r w:rsidR="00E77524">
        <w:rPr>
          <w:sz w:val="16"/>
          <w:szCs w:val="16"/>
        </w:rPr>
        <w:t>enthalten, wiederum 30-70% des Gesamteinkommens der hi</w:t>
      </w:r>
      <w:r w:rsidR="00E77524" w:rsidRPr="00E77524">
        <w:rPr>
          <w:sz w:val="16"/>
          <w:szCs w:val="16"/>
        </w:rPr>
        <w:t>nter der jur</w:t>
      </w:r>
      <w:r w:rsidR="00E77524">
        <w:rPr>
          <w:sz w:val="16"/>
          <w:szCs w:val="16"/>
        </w:rPr>
        <w:t>ist</w:t>
      </w:r>
      <w:r w:rsidR="00E77524" w:rsidRPr="00E77524">
        <w:rPr>
          <w:sz w:val="16"/>
          <w:szCs w:val="16"/>
        </w:rPr>
        <w:t>i</w:t>
      </w:r>
      <w:r w:rsidR="00E77524">
        <w:rPr>
          <w:sz w:val="16"/>
          <w:szCs w:val="16"/>
        </w:rPr>
        <w:t>s</w:t>
      </w:r>
      <w:r w:rsidR="00E77524" w:rsidRPr="00E77524">
        <w:rPr>
          <w:sz w:val="16"/>
          <w:szCs w:val="16"/>
        </w:rPr>
        <w:t>chen Pe</w:t>
      </w:r>
      <w:r w:rsidR="00E77524">
        <w:rPr>
          <w:sz w:val="16"/>
          <w:szCs w:val="16"/>
        </w:rPr>
        <w:t>rson stehenden natürlichen Perso</w:t>
      </w:r>
      <w:r w:rsidR="00E77524" w:rsidRPr="00E77524">
        <w:rPr>
          <w:sz w:val="16"/>
          <w:szCs w:val="16"/>
        </w:rPr>
        <w:t>n ausmachen.</w:t>
      </w:r>
      <w:r w:rsidR="00E77524">
        <w:rPr>
          <w:sz w:val="16"/>
          <w:szCs w:val="16"/>
        </w:rPr>
        <w:t xml:space="preserve"> </w:t>
      </w:r>
    </w:p>
  </w:footnote>
  <w:footnote w:id="2">
    <w:p w14:paraId="2FD8A5DE" w14:textId="77777777" w:rsidR="0093594E" w:rsidRPr="00A131F4" w:rsidRDefault="0093594E" w:rsidP="0093594E">
      <w:pPr>
        <w:pStyle w:val="NormalWeb"/>
        <w:jc w:val="both"/>
        <w:rPr>
          <w:rFonts w:ascii="Arial" w:hAnsi="Arial" w:cs="Arial"/>
          <w:i/>
          <w:sz w:val="16"/>
          <w:szCs w:val="16"/>
        </w:rPr>
      </w:pPr>
      <w:r w:rsidRPr="00A131F4">
        <w:rPr>
          <w:rStyle w:val="FootnoteReference"/>
          <w:rFonts w:ascii="Arial" w:hAnsi="Arial" w:cs="Arial"/>
          <w:sz w:val="20"/>
          <w:szCs w:val="20"/>
        </w:rPr>
        <w:footnoteRef/>
      </w:r>
      <w:r w:rsidRPr="00A131F4">
        <w:rPr>
          <w:rFonts w:ascii="Arial" w:hAnsi="Arial" w:cs="Arial"/>
          <w:sz w:val="20"/>
          <w:szCs w:val="20"/>
        </w:rPr>
        <w:t xml:space="preserve"> </w:t>
      </w:r>
      <w:proofErr w:type="spellStart"/>
      <w:r w:rsidR="00A131F4" w:rsidRPr="00A131F4">
        <w:rPr>
          <w:rFonts w:ascii="Arial" w:hAnsi="Arial" w:cs="Arial"/>
          <w:sz w:val="16"/>
          <w:szCs w:val="16"/>
        </w:rPr>
        <w:t>Vgl</w:t>
      </w:r>
      <w:proofErr w:type="spellEnd"/>
      <w:r w:rsidR="00A131F4" w:rsidRPr="00A131F4">
        <w:rPr>
          <w:rFonts w:ascii="Arial" w:hAnsi="Arial" w:cs="Arial"/>
          <w:sz w:val="16"/>
          <w:szCs w:val="16"/>
        </w:rPr>
        <w:t xml:space="preserve"> dazu </w:t>
      </w:r>
      <w:proofErr w:type="spellStart"/>
      <w:r w:rsidR="00A131F4" w:rsidRPr="00A131F4">
        <w:rPr>
          <w:rFonts w:ascii="Arial" w:hAnsi="Arial" w:cs="Arial"/>
          <w:sz w:val="16"/>
          <w:szCs w:val="16"/>
        </w:rPr>
        <w:t>Kotschy</w:t>
      </w:r>
      <w:proofErr w:type="spellEnd"/>
      <w:r w:rsidR="00A131F4" w:rsidRPr="00A131F4">
        <w:rPr>
          <w:rFonts w:ascii="Arial" w:hAnsi="Arial" w:cs="Arial"/>
          <w:sz w:val="16"/>
          <w:szCs w:val="16"/>
        </w:rPr>
        <w:t xml:space="preserve"> in Datenschutz - eine Standortbestimmung (Teil I) in </w:t>
      </w:r>
      <w:proofErr w:type="spellStart"/>
      <w:r w:rsidR="00A131F4" w:rsidRPr="00A131F4">
        <w:rPr>
          <w:rFonts w:ascii="Arial" w:hAnsi="Arial" w:cs="Arial"/>
          <w:sz w:val="16"/>
          <w:szCs w:val="16"/>
        </w:rPr>
        <w:t>RdW</w:t>
      </w:r>
      <w:proofErr w:type="spellEnd"/>
      <w:r w:rsidR="00A131F4" w:rsidRPr="00A131F4">
        <w:rPr>
          <w:rFonts w:ascii="Arial" w:hAnsi="Arial" w:cs="Arial"/>
          <w:sz w:val="16"/>
          <w:szCs w:val="16"/>
        </w:rPr>
        <w:t xml:space="preserve"> 8/2018</w:t>
      </w:r>
      <w:r w:rsidR="00A131F4">
        <w:rPr>
          <w:rFonts w:ascii="Arial" w:hAnsi="Arial" w:cs="Arial"/>
          <w:iCs/>
          <w:sz w:val="16"/>
          <w:szCs w:val="16"/>
        </w:rPr>
        <w:t xml:space="preserve">: </w:t>
      </w:r>
      <w:r w:rsidR="00A131F4" w:rsidRPr="00A131F4">
        <w:rPr>
          <w:rFonts w:ascii="Arial" w:hAnsi="Arial" w:cs="Arial"/>
          <w:i/>
          <w:iCs/>
          <w:sz w:val="16"/>
          <w:szCs w:val="16"/>
        </w:rPr>
        <w:t>„</w:t>
      </w:r>
      <w:r w:rsidRPr="00A131F4">
        <w:rPr>
          <w:rFonts w:ascii="Arial" w:hAnsi="Arial" w:cs="Arial"/>
          <w:i/>
          <w:iCs/>
          <w:sz w:val="16"/>
          <w:szCs w:val="16"/>
        </w:rPr>
        <w:t xml:space="preserve">Wenn eine gekaufte Ware laut Kaufvertrag vom Verkäufer an den Käufer zuzustellen ist, erhebt sich bei der Heranziehung eines Spediteurs die Frage, ob dieser ,,Auftragsverarbeiter" hinsichtlich der übermittelten Lieferdaten ist oder ,,Dritter". Dasselbe gilt </w:t>
      </w:r>
      <w:proofErr w:type="spellStart"/>
      <w:r w:rsidRPr="00A131F4">
        <w:rPr>
          <w:rFonts w:ascii="Arial" w:hAnsi="Arial" w:cs="Arial"/>
          <w:i/>
          <w:iCs/>
          <w:sz w:val="16"/>
          <w:szCs w:val="16"/>
        </w:rPr>
        <w:t>zB</w:t>
      </w:r>
      <w:proofErr w:type="spellEnd"/>
      <w:r w:rsidRPr="00A131F4">
        <w:rPr>
          <w:rFonts w:ascii="Arial" w:hAnsi="Arial" w:cs="Arial"/>
          <w:i/>
          <w:iCs/>
          <w:sz w:val="16"/>
          <w:szCs w:val="16"/>
        </w:rPr>
        <w:t xml:space="preserve"> für die Durchführung von Zahlungen eines Unternehmens an eine natürliche Person (</w:t>
      </w:r>
      <w:proofErr w:type="spellStart"/>
      <w:r w:rsidRPr="00A131F4">
        <w:rPr>
          <w:rFonts w:ascii="Arial" w:hAnsi="Arial" w:cs="Arial"/>
          <w:i/>
          <w:iCs/>
          <w:sz w:val="16"/>
          <w:szCs w:val="16"/>
        </w:rPr>
        <w:t>zB</w:t>
      </w:r>
      <w:proofErr w:type="spellEnd"/>
      <w:r w:rsidRPr="00A131F4">
        <w:rPr>
          <w:rFonts w:ascii="Arial" w:hAnsi="Arial" w:cs="Arial"/>
          <w:i/>
          <w:iCs/>
          <w:sz w:val="16"/>
          <w:szCs w:val="16"/>
        </w:rPr>
        <w:t xml:space="preserve"> die Mitarbeiter) im Wege eines Kreditinstituts. Vieles spricht dafür, dass der Spediteur oder das Kreditinstitut als ,,Dritter" zu sehen ist, </w:t>
      </w:r>
      <w:r w:rsidRPr="00A131F4">
        <w:rPr>
          <w:rFonts w:ascii="Arial" w:hAnsi="Arial" w:cs="Arial"/>
          <w:bCs/>
          <w:i/>
          <w:iCs/>
          <w:sz w:val="16"/>
          <w:szCs w:val="16"/>
        </w:rPr>
        <w:t>da im Mittelpunkt der bedungenen Leistung nicht die Verarbeitung von Daten</w:t>
      </w:r>
      <w:r w:rsidRPr="00A131F4">
        <w:rPr>
          <w:rFonts w:ascii="Arial" w:hAnsi="Arial" w:cs="Arial"/>
          <w:i/>
          <w:iCs/>
          <w:sz w:val="16"/>
          <w:szCs w:val="16"/>
        </w:rPr>
        <w:t xml:space="preserve">, sondern Transport und Zustellung der Ware oder Transfer von Geldmitteln steht. </w:t>
      </w:r>
      <w:r w:rsidR="00A131F4" w:rsidRPr="00A131F4">
        <w:rPr>
          <w:rFonts w:ascii="Arial" w:hAnsi="Arial" w:cs="Arial"/>
          <w:i/>
          <w:iCs/>
          <w:sz w:val="16"/>
          <w:szCs w:val="16"/>
        </w:rPr>
        <w:t xml:space="preserve">(…) </w:t>
      </w:r>
      <w:r w:rsidRPr="00A131F4">
        <w:rPr>
          <w:rFonts w:ascii="Arial" w:hAnsi="Arial" w:cs="Arial"/>
          <w:bCs/>
          <w:i/>
          <w:iCs/>
          <w:sz w:val="16"/>
          <w:szCs w:val="16"/>
        </w:rPr>
        <w:t xml:space="preserve">Wenn die Verarbeitung von personenbezogenen Daten nicht im Vordergrund des Auftrags steht und/oder keinen umfangreichen Teil der Leistung des Beauftragten ausmacht, wird davon auszugehen sein, dass die </w:t>
      </w:r>
      <w:r w:rsidR="00A131F4">
        <w:rPr>
          <w:rFonts w:ascii="Arial" w:hAnsi="Arial" w:cs="Arial"/>
          <w:bCs/>
          <w:i/>
          <w:iCs/>
          <w:sz w:val="16"/>
          <w:szCs w:val="16"/>
        </w:rPr>
        <w:t>Mitwirkung eines ,,Dritten" vor</w:t>
      </w:r>
      <w:r w:rsidRPr="00A131F4">
        <w:rPr>
          <w:rFonts w:ascii="Arial" w:hAnsi="Arial" w:cs="Arial"/>
          <w:bCs/>
          <w:i/>
          <w:iCs/>
          <w:sz w:val="16"/>
          <w:szCs w:val="16"/>
        </w:rPr>
        <w:t>liegt und nicht ,,Auftragsverarbeitung".</w:t>
      </w:r>
    </w:p>
  </w:footnote>
  <w:footnote w:id="3">
    <w:p w14:paraId="2560030D" w14:textId="77777777" w:rsidR="00411D9A" w:rsidRPr="00E77524" w:rsidRDefault="00411D9A">
      <w:pPr>
        <w:pStyle w:val="FootnoteText"/>
        <w:rPr>
          <w:color w:val="000000"/>
          <w:sz w:val="16"/>
          <w:szCs w:val="16"/>
          <w:lang w:val="de-DE"/>
        </w:rPr>
      </w:pPr>
      <w:r w:rsidRPr="00A131F4">
        <w:rPr>
          <w:rStyle w:val="FootnoteReference"/>
        </w:rPr>
        <w:footnoteRef/>
      </w:r>
      <w:r w:rsidRPr="00A131F4">
        <w:t xml:space="preserve"> </w:t>
      </w:r>
      <w:r w:rsidR="00E77524" w:rsidRPr="00E77524">
        <w:rPr>
          <w:color w:val="000000"/>
          <w:sz w:val="16"/>
          <w:szCs w:val="16"/>
          <w:lang w:val="de-DE"/>
        </w:rPr>
        <w:t>K121.810/0013-DSK/2012, DSB-D122.215/0004-DSB/2014, DSB-D122.299/0003-DSB/2015</w:t>
      </w:r>
    </w:p>
  </w:footnote>
  <w:footnote w:id="4">
    <w:p w14:paraId="6F61D58C" w14:textId="77777777" w:rsidR="00411D9A" w:rsidRPr="00A131F4" w:rsidRDefault="00411D9A">
      <w:pPr>
        <w:pStyle w:val="FootnoteText"/>
      </w:pPr>
      <w:r w:rsidRPr="00A131F4">
        <w:rPr>
          <w:rStyle w:val="FootnoteReference"/>
        </w:rPr>
        <w:footnoteRef/>
      </w:r>
      <w:r w:rsidRPr="00A131F4">
        <w:t xml:space="preserve"> </w:t>
      </w:r>
      <w:r w:rsidR="00E77524" w:rsidRPr="00E77524">
        <w:rPr>
          <w:color w:val="000000"/>
          <w:sz w:val="16"/>
          <w:szCs w:val="16"/>
          <w:lang w:val="de-DE"/>
        </w:rPr>
        <w:t>DSB-D122.767/0001-DSB/2018</w:t>
      </w:r>
    </w:p>
  </w:footnote>
  <w:footnote w:id="5">
    <w:p w14:paraId="174A552C" w14:textId="77777777" w:rsidR="00411D9A" w:rsidRPr="006D7A65" w:rsidRDefault="00411D9A">
      <w:pPr>
        <w:pStyle w:val="FootnoteText"/>
        <w:rPr>
          <w:color w:val="000000"/>
          <w:sz w:val="16"/>
          <w:szCs w:val="16"/>
          <w:lang w:val="de-DE"/>
        </w:rPr>
      </w:pPr>
      <w:r>
        <w:rPr>
          <w:rStyle w:val="FootnoteReference"/>
        </w:rPr>
        <w:footnoteRef/>
      </w:r>
      <w:r>
        <w:t xml:space="preserve"> </w:t>
      </w:r>
      <w:r w:rsidR="00927EC7" w:rsidRPr="006D7A65">
        <w:rPr>
          <w:color w:val="000000"/>
          <w:sz w:val="16"/>
          <w:szCs w:val="16"/>
          <w:lang w:val="de-DE"/>
        </w:rPr>
        <w:t>K121.155/0015-DSK/2006, K121.330/0004-DSK/2008</w:t>
      </w:r>
    </w:p>
  </w:footnote>
  <w:footnote w:id="6">
    <w:p w14:paraId="19B22F76" w14:textId="77777777" w:rsidR="00411D9A" w:rsidRDefault="00411D9A">
      <w:pPr>
        <w:pStyle w:val="FootnoteText"/>
      </w:pPr>
      <w:r>
        <w:rPr>
          <w:rStyle w:val="FootnoteReference"/>
        </w:rPr>
        <w:footnoteRef/>
      </w:r>
      <w:r>
        <w:t xml:space="preserve"> </w:t>
      </w:r>
      <w:r w:rsidR="00927EC7" w:rsidRPr="00927EC7">
        <w:rPr>
          <w:color w:val="000000"/>
          <w:sz w:val="16"/>
          <w:szCs w:val="16"/>
          <w:lang w:val="de-DE"/>
        </w:rPr>
        <w:t>DSB-D122.304/0012-DSB/2015</w:t>
      </w:r>
      <w:r w:rsidR="00927EC7">
        <w:rPr>
          <w:color w:val="000000"/>
          <w:sz w:val="16"/>
          <w:szCs w:val="16"/>
          <w:lang w:val="de-DE"/>
        </w:rPr>
        <w:t xml:space="preserve"> (</w:t>
      </w:r>
      <w:r w:rsidR="006D7A65">
        <w:rPr>
          <w:color w:val="000000"/>
          <w:sz w:val="16"/>
          <w:szCs w:val="16"/>
          <w:lang w:val="de-DE"/>
        </w:rPr>
        <w:t xml:space="preserve">zu den </w:t>
      </w:r>
      <w:r w:rsidR="00927EC7">
        <w:rPr>
          <w:color w:val="000000"/>
          <w:sz w:val="16"/>
          <w:szCs w:val="16"/>
          <w:lang w:val="de-DE"/>
        </w:rPr>
        <w:t xml:space="preserve">errechneten </w:t>
      </w:r>
      <w:proofErr w:type="spellStart"/>
      <w:r w:rsidR="00927EC7">
        <w:rPr>
          <w:color w:val="000000"/>
          <w:sz w:val="16"/>
          <w:szCs w:val="16"/>
          <w:lang w:val="de-DE"/>
        </w:rPr>
        <w:t>Scorewerte</w:t>
      </w:r>
      <w:r w:rsidR="006D7A65">
        <w:rPr>
          <w:color w:val="000000"/>
          <w:sz w:val="16"/>
          <w:szCs w:val="16"/>
          <w:lang w:val="de-DE"/>
        </w:rPr>
        <w:t>n</w:t>
      </w:r>
      <w:proofErr w:type="spellEnd"/>
      <w:r w:rsidR="00927EC7">
        <w:rPr>
          <w:color w:val="000000"/>
          <w:sz w:val="16"/>
          <w:szCs w:val="16"/>
          <w:lang w:val="de-DE"/>
        </w:rPr>
        <w:t>)</w:t>
      </w:r>
    </w:p>
  </w:footnote>
  <w:footnote w:id="7">
    <w:p w14:paraId="63D3775D" w14:textId="77777777" w:rsidR="006C02A1" w:rsidRPr="00A131F4" w:rsidRDefault="006C02A1" w:rsidP="006C02A1">
      <w:pPr>
        <w:pStyle w:val="FootnoteText"/>
        <w:rPr>
          <w:sz w:val="16"/>
          <w:szCs w:val="16"/>
        </w:rPr>
      </w:pPr>
      <w:r>
        <w:rPr>
          <w:rStyle w:val="FootnoteReference"/>
        </w:rPr>
        <w:footnoteRef/>
      </w:r>
      <w:r>
        <w:t xml:space="preserve"> </w:t>
      </w:r>
      <w:r w:rsidRPr="00A131F4">
        <w:rPr>
          <w:sz w:val="16"/>
          <w:szCs w:val="16"/>
        </w:rPr>
        <w:t>WP 167 der Art 29</w:t>
      </w:r>
      <w:r w:rsidR="00FE3697" w:rsidRPr="00A131F4">
        <w:rPr>
          <w:sz w:val="16"/>
          <w:szCs w:val="16"/>
        </w:rPr>
        <w:t xml:space="preserve"> –Datenschutzgruppe vom 16.2.201</w:t>
      </w:r>
      <w:r w:rsidRPr="00A131F4">
        <w:rPr>
          <w:sz w:val="16"/>
          <w:szCs w:val="16"/>
        </w:rPr>
        <w:t>0</w:t>
      </w:r>
    </w:p>
  </w:footnote>
  <w:footnote w:id="8">
    <w:p w14:paraId="42971F26" w14:textId="77777777" w:rsidR="005A03A7" w:rsidRPr="00A131F4" w:rsidRDefault="005A03A7" w:rsidP="005A03A7">
      <w:pPr>
        <w:pStyle w:val="FootnoteText"/>
        <w:jc w:val="both"/>
        <w:rPr>
          <w:sz w:val="16"/>
          <w:szCs w:val="16"/>
        </w:rPr>
      </w:pPr>
      <w:r>
        <w:rPr>
          <w:rStyle w:val="FootnoteReference"/>
        </w:rPr>
        <w:footnoteRef/>
      </w:r>
      <w:r>
        <w:t xml:space="preserve"> </w:t>
      </w:r>
      <w:r w:rsidRPr="00A131F4">
        <w:rPr>
          <w:sz w:val="16"/>
          <w:szCs w:val="16"/>
        </w:rPr>
        <w:t>Ist dies der Fall und kann der Dienstleister für den Verantwortlichen gegenüber den betroffene</w:t>
      </w:r>
      <w:r w:rsidR="00037E3C" w:rsidRPr="00A131F4">
        <w:rPr>
          <w:sz w:val="16"/>
          <w:szCs w:val="16"/>
        </w:rPr>
        <w:t>n</w:t>
      </w:r>
      <w:r w:rsidRPr="00A131F4">
        <w:rPr>
          <w:sz w:val="16"/>
          <w:szCs w:val="16"/>
        </w:rPr>
        <w:t xml:space="preserve"> Personen agierten, verbleibt das Risiko für nicht rechtskonformes Verhalten bestraft zu werden, selbstverständlich weiterhin beim Verantwortlichen.</w:t>
      </w:r>
    </w:p>
  </w:footnote>
  <w:footnote w:id="9">
    <w:p w14:paraId="3A92D204" w14:textId="77777777" w:rsidR="00B44997" w:rsidRPr="006D7A65" w:rsidRDefault="00B44997">
      <w:pPr>
        <w:pStyle w:val="FootnoteText"/>
        <w:rPr>
          <w:sz w:val="16"/>
          <w:szCs w:val="16"/>
        </w:rPr>
      </w:pPr>
      <w:r w:rsidRPr="00692CAB">
        <w:rPr>
          <w:rStyle w:val="FootnoteReference"/>
        </w:rPr>
        <w:footnoteRef/>
      </w:r>
      <w:r w:rsidRPr="00A131F4">
        <w:rPr>
          <w:sz w:val="16"/>
          <w:szCs w:val="16"/>
        </w:rPr>
        <w:t xml:space="preserve"> Allenfalls in Form einer „gemeinsamen Verantwortung</w:t>
      </w:r>
      <w:r w:rsidRPr="006D7A65">
        <w:rPr>
          <w:sz w:val="16"/>
          <w:szCs w:val="16"/>
        </w:rPr>
        <w:t>“ nach Art 26 DSGVO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268A54" w14:textId="77777777" w:rsidR="006A4E69" w:rsidRDefault="006A4E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EEAC50" w14:textId="77777777" w:rsidR="006A4E69" w:rsidRDefault="006A4E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37E476" w14:textId="77777777" w:rsidR="006A4E69" w:rsidRDefault="006A4E6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9"/>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638"/>
    <w:rsid w:val="00032D9A"/>
    <w:rsid w:val="00037E3C"/>
    <w:rsid w:val="00056D10"/>
    <w:rsid w:val="001D73AA"/>
    <w:rsid w:val="001E58AD"/>
    <w:rsid w:val="00263284"/>
    <w:rsid w:val="00321907"/>
    <w:rsid w:val="00392B34"/>
    <w:rsid w:val="003C4BE7"/>
    <w:rsid w:val="00411D9A"/>
    <w:rsid w:val="00496942"/>
    <w:rsid w:val="005A03A7"/>
    <w:rsid w:val="00610EF5"/>
    <w:rsid w:val="00692CAB"/>
    <w:rsid w:val="006A4E69"/>
    <w:rsid w:val="006C02A1"/>
    <w:rsid w:val="006C32F9"/>
    <w:rsid w:val="006C6775"/>
    <w:rsid w:val="006D7A65"/>
    <w:rsid w:val="007A59D4"/>
    <w:rsid w:val="007C21F2"/>
    <w:rsid w:val="00850130"/>
    <w:rsid w:val="00861E29"/>
    <w:rsid w:val="008E129E"/>
    <w:rsid w:val="00927EC7"/>
    <w:rsid w:val="0093594E"/>
    <w:rsid w:val="00A131F4"/>
    <w:rsid w:val="00A45182"/>
    <w:rsid w:val="00AA2FAB"/>
    <w:rsid w:val="00AF3A1C"/>
    <w:rsid w:val="00B44997"/>
    <w:rsid w:val="00B634A6"/>
    <w:rsid w:val="00C4559B"/>
    <w:rsid w:val="00C66AB2"/>
    <w:rsid w:val="00C97290"/>
    <w:rsid w:val="00D2263C"/>
    <w:rsid w:val="00D53E8F"/>
    <w:rsid w:val="00DC17F8"/>
    <w:rsid w:val="00E77524"/>
    <w:rsid w:val="00E90388"/>
    <w:rsid w:val="00F45C01"/>
    <w:rsid w:val="00F75638"/>
    <w:rsid w:val="00FE369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B47734"/>
  <w15:chartTrackingRefBased/>
  <w15:docId w15:val="{0A0D51A0-5F32-43B1-8D3B-EA58A419B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Arial"/>
        <w:sz w:val="22"/>
        <w:szCs w:val="22"/>
        <w:lang w:val="de-A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388"/>
  </w:style>
  <w:style w:type="paragraph" w:styleId="Heading1">
    <w:name w:val="heading 1"/>
    <w:basedOn w:val="Normal"/>
    <w:next w:val="Normal"/>
    <w:link w:val="Heading1Char"/>
    <w:uiPriority w:val="9"/>
    <w:qFormat/>
    <w:rsid w:val="00E90388"/>
    <w:pPr>
      <w:pBdr>
        <w:bottom w:val="single" w:sz="12" w:space="1" w:color="365F91" w:themeColor="accent1" w:themeShade="BF"/>
      </w:pBdr>
      <w:spacing w:before="600" w:after="80"/>
      <w:outlineLvl w:val="0"/>
    </w:pPr>
    <w:rPr>
      <w:rFonts w:asciiTheme="majorHAnsi" w:eastAsiaTheme="majorEastAsia" w:hAnsiTheme="majorHAnsi" w:cstheme="majorBidi"/>
      <w:b/>
      <w:bCs/>
      <w:color w:val="365F91" w:themeColor="accent1" w:themeShade="BF"/>
      <w:sz w:val="24"/>
      <w:szCs w:val="24"/>
    </w:rPr>
  </w:style>
  <w:style w:type="paragraph" w:styleId="Heading2">
    <w:name w:val="heading 2"/>
    <w:basedOn w:val="Normal"/>
    <w:next w:val="Normal"/>
    <w:link w:val="Heading2Char"/>
    <w:uiPriority w:val="9"/>
    <w:unhideWhenUsed/>
    <w:qFormat/>
    <w:rsid w:val="00E90388"/>
    <w:pPr>
      <w:pBdr>
        <w:bottom w:val="single" w:sz="8" w:space="1" w:color="4F81BD" w:themeColor="accent1"/>
      </w:pBdr>
      <w:spacing w:before="200" w:after="80"/>
      <w:outlineLvl w:val="1"/>
    </w:pPr>
    <w:rPr>
      <w:rFonts w:asciiTheme="majorHAnsi" w:eastAsiaTheme="majorEastAsia" w:hAnsiTheme="majorHAnsi" w:cstheme="majorBidi"/>
      <w:color w:val="365F91" w:themeColor="accent1" w:themeShade="BF"/>
      <w:sz w:val="24"/>
      <w:szCs w:val="24"/>
    </w:rPr>
  </w:style>
  <w:style w:type="paragraph" w:styleId="Heading3">
    <w:name w:val="heading 3"/>
    <w:basedOn w:val="Normal"/>
    <w:next w:val="Normal"/>
    <w:link w:val="Heading3Char"/>
    <w:uiPriority w:val="9"/>
    <w:semiHidden/>
    <w:unhideWhenUsed/>
    <w:qFormat/>
    <w:rsid w:val="00E90388"/>
    <w:pPr>
      <w:pBdr>
        <w:bottom w:val="single" w:sz="4" w:space="1" w:color="95B3D7" w:themeColor="accent1" w:themeTint="99"/>
      </w:pBdr>
      <w:spacing w:before="200" w:after="80"/>
      <w:outlineLvl w:val="2"/>
    </w:pPr>
    <w:rPr>
      <w:rFonts w:asciiTheme="majorHAnsi" w:eastAsiaTheme="majorEastAsia" w:hAnsiTheme="majorHAnsi" w:cstheme="majorBidi"/>
      <w:color w:val="4F81BD" w:themeColor="accent1"/>
      <w:sz w:val="24"/>
      <w:szCs w:val="24"/>
    </w:rPr>
  </w:style>
  <w:style w:type="paragraph" w:styleId="Heading4">
    <w:name w:val="heading 4"/>
    <w:basedOn w:val="Normal"/>
    <w:next w:val="Normal"/>
    <w:link w:val="Heading4Char"/>
    <w:uiPriority w:val="9"/>
    <w:semiHidden/>
    <w:unhideWhenUsed/>
    <w:qFormat/>
    <w:rsid w:val="00E90388"/>
    <w:pPr>
      <w:pBdr>
        <w:bottom w:val="single" w:sz="4" w:space="2" w:color="B8CCE4" w:themeColor="accent1" w:themeTint="66"/>
      </w:pBdr>
      <w:spacing w:before="200" w:after="80"/>
      <w:outlineLvl w:val="3"/>
    </w:pPr>
    <w:rPr>
      <w:rFonts w:asciiTheme="majorHAnsi" w:eastAsiaTheme="majorEastAsia" w:hAnsiTheme="majorHAnsi" w:cstheme="majorBidi"/>
      <w:i/>
      <w:iCs/>
      <w:color w:val="4F81BD" w:themeColor="accent1"/>
      <w:sz w:val="24"/>
      <w:szCs w:val="24"/>
    </w:rPr>
  </w:style>
  <w:style w:type="paragraph" w:styleId="Heading5">
    <w:name w:val="heading 5"/>
    <w:basedOn w:val="Normal"/>
    <w:next w:val="Normal"/>
    <w:link w:val="Heading5Char"/>
    <w:uiPriority w:val="9"/>
    <w:semiHidden/>
    <w:unhideWhenUsed/>
    <w:qFormat/>
    <w:rsid w:val="00E90388"/>
    <w:pPr>
      <w:spacing w:before="200" w:after="80"/>
      <w:outlineLvl w:val="4"/>
    </w:pPr>
    <w:rPr>
      <w:rFonts w:asciiTheme="majorHAnsi" w:eastAsiaTheme="majorEastAsia" w:hAnsiTheme="majorHAnsi" w:cstheme="majorBidi"/>
      <w:color w:val="4F81BD" w:themeColor="accent1"/>
    </w:rPr>
  </w:style>
  <w:style w:type="paragraph" w:styleId="Heading6">
    <w:name w:val="heading 6"/>
    <w:basedOn w:val="Normal"/>
    <w:next w:val="Normal"/>
    <w:link w:val="Heading6Char"/>
    <w:uiPriority w:val="9"/>
    <w:semiHidden/>
    <w:unhideWhenUsed/>
    <w:qFormat/>
    <w:rsid w:val="00E90388"/>
    <w:pPr>
      <w:spacing w:before="280" w:after="100"/>
      <w:outlineLvl w:val="5"/>
    </w:pPr>
    <w:rPr>
      <w:rFonts w:asciiTheme="majorHAnsi" w:eastAsiaTheme="majorEastAsia" w:hAnsiTheme="majorHAnsi" w:cstheme="majorBidi"/>
      <w:i/>
      <w:iCs/>
      <w:color w:val="4F81BD" w:themeColor="accent1"/>
    </w:rPr>
  </w:style>
  <w:style w:type="paragraph" w:styleId="Heading7">
    <w:name w:val="heading 7"/>
    <w:basedOn w:val="Normal"/>
    <w:next w:val="Normal"/>
    <w:link w:val="Heading7Char"/>
    <w:uiPriority w:val="9"/>
    <w:semiHidden/>
    <w:unhideWhenUsed/>
    <w:qFormat/>
    <w:rsid w:val="00E90388"/>
    <w:pPr>
      <w:spacing w:before="320" w:after="100"/>
      <w:outlineLvl w:val="6"/>
    </w:pPr>
    <w:rPr>
      <w:rFonts w:asciiTheme="majorHAnsi" w:eastAsiaTheme="majorEastAsia" w:hAnsiTheme="majorHAnsi" w:cstheme="majorBidi"/>
      <w:b/>
      <w:bCs/>
      <w:color w:val="9BBB59" w:themeColor="accent3"/>
      <w:sz w:val="20"/>
      <w:szCs w:val="20"/>
    </w:rPr>
  </w:style>
  <w:style w:type="paragraph" w:styleId="Heading8">
    <w:name w:val="heading 8"/>
    <w:basedOn w:val="Normal"/>
    <w:next w:val="Normal"/>
    <w:link w:val="Heading8Char"/>
    <w:uiPriority w:val="9"/>
    <w:semiHidden/>
    <w:unhideWhenUsed/>
    <w:qFormat/>
    <w:rsid w:val="00E90388"/>
    <w:pPr>
      <w:spacing w:before="320" w:after="100"/>
      <w:outlineLvl w:val="7"/>
    </w:pPr>
    <w:rPr>
      <w:rFonts w:asciiTheme="majorHAnsi" w:eastAsiaTheme="majorEastAsia" w:hAnsiTheme="majorHAnsi" w:cstheme="majorBidi"/>
      <w:b/>
      <w:bCs/>
      <w:i/>
      <w:iCs/>
      <w:color w:val="9BBB59" w:themeColor="accent3"/>
      <w:sz w:val="20"/>
      <w:szCs w:val="20"/>
    </w:rPr>
  </w:style>
  <w:style w:type="paragraph" w:styleId="Heading9">
    <w:name w:val="heading 9"/>
    <w:basedOn w:val="Normal"/>
    <w:next w:val="Normal"/>
    <w:link w:val="Heading9Char"/>
    <w:uiPriority w:val="9"/>
    <w:semiHidden/>
    <w:unhideWhenUsed/>
    <w:qFormat/>
    <w:rsid w:val="00E90388"/>
    <w:pPr>
      <w:spacing w:before="320" w:after="100"/>
      <w:outlineLvl w:val="8"/>
    </w:pPr>
    <w:rPr>
      <w:rFonts w:asciiTheme="majorHAnsi" w:eastAsiaTheme="majorEastAsia" w:hAnsiTheme="majorHAnsi" w:cstheme="majorBidi"/>
      <w:i/>
      <w:iCs/>
      <w:color w:val="9BBB59"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1"/>
    <w:qFormat/>
    <w:rsid w:val="00E90388"/>
  </w:style>
  <w:style w:type="character" w:customStyle="1" w:styleId="Heading1Char">
    <w:name w:val="Heading 1 Char"/>
    <w:basedOn w:val="DefaultParagraphFont"/>
    <w:link w:val="Heading1"/>
    <w:uiPriority w:val="9"/>
    <w:rsid w:val="00E90388"/>
    <w:rPr>
      <w:rFonts w:asciiTheme="majorHAnsi" w:eastAsiaTheme="majorEastAsia" w:hAnsiTheme="majorHAnsi" w:cstheme="majorBidi"/>
      <w:b/>
      <w:bCs/>
      <w:color w:val="365F91" w:themeColor="accent1" w:themeShade="BF"/>
      <w:sz w:val="24"/>
      <w:szCs w:val="24"/>
    </w:rPr>
  </w:style>
  <w:style w:type="character" w:customStyle="1" w:styleId="Heading2Char">
    <w:name w:val="Heading 2 Char"/>
    <w:basedOn w:val="DefaultParagraphFont"/>
    <w:link w:val="Heading2"/>
    <w:uiPriority w:val="9"/>
    <w:rsid w:val="00E90388"/>
    <w:rPr>
      <w:rFonts w:asciiTheme="majorHAnsi" w:eastAsiaTheme="majorEastAsia" w:hAnsiTheme="majorHAnsi" w:cstheme="majorBidi"/>
      <w:color w:val="365F91" w:themeColor="accent1" w:themeShade="BF"/>
      <w:sz w:val="24"/>
      <w:szCs w:val="24"/>
    </w:rPr>
  </w:style>
  <w:style w:type="character" w:customStyle="1" w:styleId="Heading3Char">
    <w:name w:val="Heading 3 Char"/>
    <w:basedOn w:val="DefaultParagraphFont"/>
    <w:link w:val="Heading3"/>
    <w:uiPriority w:val="9"/>
    <w:semiHidden/>
    <w:rsid w:val="00E90388"/>
    <w:rPr>
      <w:rFonts w:asciiTheme="majorHAnsi" w:eastAsiaTheme="majorEastAsia" w:hAnsiTheme="majorHAnsi" w:cstheme="majorBidi"/>
      <w:color w:val="4F81BD" w:themeColor="accent1"/>
      <w:sz w:val="24"/>
      <w:szCs w:val="24"/>
    </w:rPr>
  </w:style>
  <w:style w:type="character" w:customStyle="1" w:styleId="Heading4Char">
    <w:name w:val="Heading 4 Char"/>
    <w:basedOn w:val="DefaultParagraphFont"/>
    <w:link w:val="Heading4"/>
    <w:uiPriority w:val="9"/>
    <w:semiHidden/>
    <w:rsid w:val="00E90388"/>
    <w:rPr>
      <w:rFonts w:asciiTheme="majorHAnsi" w:eastAsiaTheme="majorEastAsia" w:hAnsiTheme="majorHAnsi" w:cstheme="majorBidi"/>
      <w:i/>
      <w:iCs/>
      <w:color w:val="4F81BD" w:themeColor="accent1"/>
      <w:sz w:val="24"/>
      <w:szCs w:val="24"/>
    </w:rPr>
  </w:style>
  <w:style w:type="character" w:customStyle="1" w:styleId="Heading5Char">
    <w:name w:val="Heading 5 Char"/>
    <w:basedOn w:val="DefaultParagraphFont"/>
    <w:link w:val="Heading5"/>
    <w:uiPriority w:val="9"/>
    <w:semiHidden/>
    <w:rsid w:val="00E90388"/>
    <w:rPr>
      <w:rFonts w:asciiTheme="majorHAnsi" w:eastAsiaTheme="majorEastAsia" w:hAnsiTheme="majorHAnsi" w:cstheme="majorBidi"/>
      <w:color w:val="4F81BD" w:themeColor="accent1"/>
    </w:rPr>
  </w:style>
  <w:style w:type="character" w:customStyle="1" w:styleId="Heading6Char">
    <w:name w:val="Heading 6 Char"/>
    <w:basedOn w:val="DefaultParagraphFont"/>
    <w:link w:val="Heading6"/>
    <w:uiPriority w:val="9"/>
    <w:semiHidden/>
    <w:rsid w:val="00E90388"/>
    <w:rPr>
      <w:rFonts w:asciiTheme="majorHAnsi" w:eastAsiaTheme="majorEastAsia" w:hAnsiTheme="majorHAnsi" w:cstheme="majorBidi"/>
      <w:i/>
      <w:iCs/>
      <w:color w:val="4F81BD" w:themeColor="accent1"/>
    </w:rPr>
  </w:style>
  <w:style w:type="character" w:customStyle="1" w:styleId="Heading7Char">
    <w:name w:val="Heading 7 Char"/>
    <w:basedOn w:val="DefaultParagraphFont"/>
    <w:link w:val="Heading7"/>
    <w:uiPriority w:val="9"/>
    <w:semiHidden/>
    <w:rsid w:val="00E90388"/>
    <w:rPr>
      <w:rFonts w:asciiTheme="majorHAnsi" w:eastAsiaTheme="majorEastAsia" w:hAnsiTheme="majorHAnsi" w:cstheme="majorBidi"/>
      <w:b/>
      <w:bCs/>
      <w:color w:val="9BBB59" w:themeColor="accent3"/>
      <w:sz w:val="20"/>
      <w:szCs w:val="20"/>
    </w:rPr>
  </w:style>
  <w:style w:type="character" w:customStyle="1" w:styleId="Heading8Char">
    <w:name w:val="Heading 8 Char"/>
    <w:basedOn w:val="DefaultParagraphFont"/>
    <w:link w:val="Heading8"/>
    <w:uiPriority w:val="9"/>
    <w:semiHidden/>
    <w:rsid w:val="00E90388"/>
    <w:rPr>
      <w:rFonts w:asciiTheme="majorHAnsi" w:eastAsiaTheme="majorEastAsia" w:hAnsiTheme="majorHAnsi" w:cstheme="majorBidi"/>
      <w:b/>
      <w:bCs/>
      <w:i/>
      <w:iCs/>
      <w:color w:val="9BBB59" w:themeColor="accent3"/>
      <w:sz w:val="20"/>
      <w:szCs w:val="20"/>
    </w:rPr>
  </w:style>
  <w:style w:type="character" w:customStyle="1" w:styleId="Heading9Char">
    <w:name w:val="Heading 9 Char"/>
    <w:basedOn w:val="DefaultParagraphFont"/>
    <w:link w:val="Heading9"/>
    <w:uiPriority w:val="9"/>
    <w:semiHidden/>
    <w:rsid w:val="00E90388"/>
    <w:rPr>
      <w:rFonts w:asciiTheme="majorHAnsi" w:eastAsiaTheme="majorEastAsia" w:hAnsiTheme="majorHAnsi" w:cstheme="majorBidi"/>
      <w:i/>
      <w:iCs/>
      <w:color w:val="9BBB59" w:themeColor="accent3"/>
      <w:sz w:val="20"/>
      <w:szCs w:val="20"/>
    </w:rPr>
  </w:style>
  <w:style w:type="paragraph" w:styleId="Caption">
    <w:name w:val="caption"/>
    <w:basedOn w:val="Normal"/>
    <w:next w:val="Normal"/>
    <w:uiPriority w:val="35"/>
    <w:semiHidden/>
    <w:unhideWhenUsed/>
    <w:qFormat/>
    <w:rsid w:val="00E90388"/>
    <w:rPr>
      <w:b/>
      <w:bCs/>
      <w:sz w:val="18"/>
      <w:szCs w:val="18"/>
    </w:rPr>
  </w:style>
  <w:style w:type="paragraph" w:styleId="Title">
    <w:name w:val="Title"/>
    <w:basedOn w:val="Normal"/>
    <w:next w:val="Normal"/>
    <w:link w:val="TitleChar"/>
    <w:uiPriority w:val="10"/>
    <w:qFormat/>
    <w:rsid w:val="00E90388"/>
    <w:pPr>
      <w:pBdr>
        <w:top w:val="single" w:sz="8" w:space="10" w:color="A7BFDE" w:themeColor="accent1" w:themeTint="7F"/>
        <w:bottom w:val="single" w:sz="24" w:space="15" w:color="9BBB59" w:themeColor="accent3"/>
      </w:pBdr>
      <w:jc w:val="center"/>
    </w:pPr>
    <w:rPr>
      <w:rFonts w:asciiTheme="majorHAnsi" w:eastAsiaTheme="majorEastAsia" w:hAnsiTheme="majorHAnsi" w:cstheme="majorBidi"/>
      <w:i/>
      <w:iCs/>
      <w:color w:val="243F60" w:themeColor="accent1" w:themeShade="7F"/>
      <w:sz w:val="60"/>
      <w:szCs w:val="60"/>
    </w:rPr>
  </w:style>
  <w:style w:type="character" w:customStyle="1" w:styleId="TitleChar">
    <w:name w:val="Title Char"/>
    <w:basedOn w:val="DefaultParagraphFont"/>
    <w:link w:val="Title"/>
    <w:uiPriority w:val="10"/>
    <w:rsid w:val="00E90388"/>
    <w:rPr>
      <w:rFonts w:asciiTheme="majorHAnsi" w:eastAsiaTheme="majorEastAsia" w:hAnsiTheme="majorHAnsi" w:cstheme="majorBidi"/>
      <w:i/>
      <w:iCs/>
      <w:color w:val="243F60" w:themeColor="accent1" w:themeShade="7F"/>
      <w:sz w:val="60"/>
      <w:szCs w:val="60"/>
    </w:rPr>
  </w:style>
  <w:style w:type="paragraph" w:styleId="Subtitle">
    <w:name w:val="Subtitle"/>
    <w:basedOn w:val="Normal"/>
    <w:next w:val="Normal"/>
    <w:link w:val="SubtitleChar"/>
    <w:uiPriority w:val="11"/>
    <w:qFormat/>
    <w:rsid w:val="00E90388"/>
    <w:pPr>
      <w:spacing w:before="200" w:after="900"/>
      <w:jc w:val="right"/>
    </w:pPr>
    <w:rPr>
      <w:i/>
      <w:iCs/>
      <w:sz w:val="24"/>
      <w:szCs w:val="24"/>
    </w:rPr>
  </w:style>
  <w:style w:type="character" w:customStyle="1" w:styleId="SubtitleChar">
    <w:name w:val="Subtitle Char"/>
    <w:basedOn w:val="DefaultParagraphFont"/>
    <w:link w:val="Subtitle"/>
    <w:uiPriority w:val="11"/>
    <w:rsid w:val="00E90388"/>
    <w:rPr>
      <w:i/>
      <w:iCs/>
      <w:sz w:val="24"/>
      <w:szCs w:val="24"/>
    </w:rPr>
  </w:style>
  <w:style w:type="character" w:styleId="Strong">
    <w:name w:val="Strong"/>
    <w:basedOn w:val="DefaultParagraphFont"/>
    <w:uiPriority w:val="22"/>
    <w:qFormat/>
    <w:rsid w:val="00E90388"/>
    <w:rPr>
      <w:b/>
      <w:bCs/>
      <w:spacing w:val="0"/>
    </w:rPr>
  </w:style>
  <w:style w:type="character" w:styleId="Emphasis">
    <w:name w:val="Emphasis"/>
    <w:uiPriority w:val="20"/>
    <w:qFormat/>
    <w:rsid w:val="00E90388"/>
    <w:rPr>
      <w:b/>
      <w:bCs/>
      <w:i/>
      <w:iCs/>
      <w:color w:val="5A5A5A" w:themeColor="text1" w:themeTint="A5"/>
    </w:rPr>
  </w:style>
  <w:style w:type="character" w:customStyle="1" w:styleId="NoSpacingChar">
    <w:name w:val="No Spacing Char"/>
    <w:basedOn w:val="DefaultParagraphFont"/>
    <w:link w:val="NoSpacing"/>
    <w:uiPriority w:val="1"/>
    <w:rsid w:val="00E90388"/>
  </w:style>
  <w:style w:type="paragraph" w:styleId="ListParagraph">
    <w:name w:val="List Paragraph"/>
    <w:basedOn w:val="Normal"/>
    <w:uiPriority w:val="34"/>
    <w:qFormat/>
    <w:rsid w:val="00E90388"/>
    <w:pPr>
      <w:ind w:left="720"/>
      <w:contextualSpacing/>
    </w:pPr>
  </w:style>
  <w:style w:type="paragraph" w:styleId="Quote">
    <w:name w:val="Quote"/>
    <w:basedOn w:val="Normal"/>
    <w:next w:val="Normal"/>
    <w:link w:val="QuoteChar"/>
    <w:uiPriority w:val="29"/>
    <w:qFormat/>
    <w:rsid w:val="00E90388"/>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E90388"/>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uiPriority w:val="30"/>
    <w:qFormat/>
    <w:rsid w:val="00E90388"/>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IntenseQuoteChar">
    <w:name w:val="Intense Quote Char"/>
    <w:basedOn w:val="DefaultParagraphFont"/>
    <w:link w:val="IntenseQuote"/>
    <w:uiPriority w:val="30"/>
    <w:rsid w:val="00E90388"/>
    <w:rPr>
      <w:rFonts w:asciiTheme="majorHAnsi" w:eastAsiaTheme="majorEastAsia" w:hAnsiTheme="majorHAnsi" w:cstheme="majorBidi"/>
      <w:i/>
      <w:iCs/>
      <w:color w:val="FFFFFF" w:themeColor="background1"/>
      <w:sz w:val="24"/>
      <w:szCs w:val="24"/>
      <w:shd w:val="clear" w:color="auto" w:fill="4F81BD" w:themeFill="accent1"/>
    </w:rPr>
  </w:style>
  <w:style w:type="character" w:styleId="SubtleEmphasis">
    <w:name w:val="Subtle Emphasis"/>
    <w:uiPriority w:val="19"/>
    <w:qFormat/>
    <w:rsid w:val="00E90388"/>
    <w:rPr>
      <w:i/>
      <w:iCs/>
      <w:color w:val="5A5A5A" w:themeColor="text1" w:themeTint="A5"/>
    </w:rPr>
  </w:style>
  <w:style w:type="character" w:styleId="IntenseEmphasis">
    <w:name w:val="Intense Emphasis"/>
    <w:uiPriority w:val="21"/>
    <w:qFormat/>
    <w:rsid w:val="00E90388"/>
    <w:rPr>
      <w:b/>
      <w:bCs/>
      <w:i/>
      <w:iCs/>
      <w:color w:val="4F81BD" w:themeColor="accent1"/>
      <w:sz w:val="22"/>
      <w:szCs w:val="22"/>
    </w:rPr>
  </w:style>
  <w:style w:type="character" w:styleId="SubtleReference">
    <w:name w:val="Subtle Reference"/>
    <w:uiPriority w:val="31"/>
    <w:qFormat/>
    <w:rsid w:val="00E90388"/>
    <w:rPr>
      <w:color w:val="auto"/>
      <w:u w:val="single" w:color="9BBB59" w:themeColor="accent3"/>
    </w:rPr>
  </w:style>
  <w:style w:type="character" w:styleId="IntenseReference">
    <w:name w:val="Intense Reference"/>
    <w:basedOn w:val="DefaultParagraphFont"/>
    <w:uiPriority w:val="32"/>
    <w:qFormat/>
    <w:rsid w:val="00E90388"/>
    <w:rPr>
      <w:b/>
      <w:bCs/>
      <w:color w:val="76923C" w:themeColor="accent3" w:themeShade="BF"/>
      <w:u w:val="single" w:color="9BBB59" w:themeColor="accent3"/>
    </w:rPr>
  </w:style>
  <w:style w:type="character" w:styleId="BookTitle">
    <w:name w:val="Book Title"/>
    <w:basedOn w:val="DefaultParagraphFont"/>
    <w:uiPriority w:val="33"/>
    <w:qFormat/>
    <w:rsid w:val="00E90388"/>
    <w:rPr>
      <w:rFonts w:asciiTheme="majorHAnsi" w:eastAsiaTheme="majorEastAsia" w:hAnsiTheme="majorHAnsi" w:cstheme="majorBidi"/>
      <w:b/>
      <w:bCs/>
      <w:i/>
      <w:iCs/>
      <w:color w:val="auto"/>
    </w:rPr>
  </w:style>
  <w:style w:type="paragraph" w:styleId="TOCHeading">
    <w:name w:val="TOC Heading"/>
    <w:basedOn w:val="Heading1"/>
    <w:next w:val="Normal"/>
    <w:uiPriority w:val="39"/>
    <w:semiHidden/>
    <w:unhideWhenUsed/>
    <w:qFormat/>
    <w:rsid w:val="00E90388"/>
    <w:pPr>
      <w:outlineLvl w:val="9"/>
    </w:pPr>
    <w:rPr>
      <w:lang w:bidi="en-US"/>
    </w:rPr>
  </w:style>
  <w:style w:type="paragraph" w:styleId="Header">
    <w:name w:val="header"/>
    <w:basedOn w:val="Normal"/>
    <w:link w:val="HeaderChar"/>
    <w:uiPriority w:val="99"/>
    <w:unhideWhenUsed/>
    <w:rsid w:val="00F75638"/>
    <w:pPr>
      <w:tabs>
        <w:tab w:val="center" w:pos="4536"/>
        <w:tab w:val="right" w:pos="9072"/>
      </w:tabs>
    </w:pPr>
  </w:style>
  <w:style w:type="character" w:customStyle="1" w:styleId="HeaderChar">
    <w:name w:val="Header Char"/>
    <w:basedOn w:val="DefaultParagraphFont"/>
    <w:link w:val="Header"/>
    <w:uiPriority w:val="99"/>
    <w:rsid w:val="00F75638"/>
  </w:style>
  <w:style w:type="paragraph" w:styleId="Footer">
    <w:name w:val="footer"/>
    <w:basedOn w:val="Normal"/>
    <w:link w:val="FooterChar"/>
    <w:uiPriority w:val="99"/>
    <w:unhideWhenUsed/>
    <w:rsid w:val="00F75638"/>
    <w:pPr>
      <w:tabs>
        <w:tab w:val="center" w:pos="4536"/>
        <w:tab w:val="right" w:pos="9072"/>
      </w:tabs>
    </w:pPr>
  </w:style>
  <w:style w:type="character" w:customStyle="1" w:styleId="FooterChar">
    <w:name w:val="Footer Char"/>
    <w:basedOn w:val="DefaultParagraphFont"/>
    <w:link w:val="Footer"/>
    <w:uiPriority w:val="99"/>
    <w:rsid w:val="00F75638"/>
  </w:style>
  <w:style w:type="paragraph" w:styleId="FootnoteText">
    <w:name w:val="footnote text"/>
    <w:basedOn w:val="Normal"/>
    <w:link w:val="FootnoteTextChar"/>
    <w:uiPriority w:val="99"/>
    <w:semiHidden/>
    <w:unhideWhenUsed/>
    <w:rsid w:val="001E58AD"/>
    <w:rPr>
      <w:sz w:val="20"/>
      <w:szCs w:val="20"/>
    </w:rPr>
  </w:style>
  <w:style w:type="character" w:customStyle="1" w:styleId="FootnoteTextChar">
    <w:name w:val="Footnote Text Char"/>
    <w:basedOn w:val="DefaultParagraphFont"/>
    <w:link w:val="FootnoteText"/>
    <w:uiPriority w:val="99"/>
    <w:semiHidden/>
    <w:rsid w:val="001E58AD"/>
    <w:rPr>
      <w:sz w:val="20"/>
      <w:szCs w:val="20"/>
    </w:rPr>
  </w:style>
  <w:style w:type="character" w:styleId="FootnoteReference">
    <w:name w:val="footnote reference"/>
    <w:basedOn w:val="DefaultParagraphFont"/>
    <w:uiPriority w:val="99"/>
    <w:semiHidden/>
    <w:unhideWhenUsed/>
    <w:rsid w:val="001E58AD"/>
    <w:rPr>
      <w:vertAlign w:val="superscript"/>
    </w:rPr>
  </w:style>
  <w:style w:type="paragraph" w:styleId="NormalWeb">
    <w:name w:val="Normal (Web)"/>
    <w:basedOn w:val="Normal"/>
    <w:uiPriority w:val="99"/>
    <w:unhideWhenUsed/>
    <w:rsid w:val="0093594E"/>
    <w:pPr>
      <w:spacing w:before="100" w:beforeAutospacing="1" w:after="100" w:afterAutospacing="1"/>
    </w:pPr>
    <w:rPr>
      <w:rFonts w:ascii="Times New Roman" w:hAnsi="Times New Roman" w:cs="Times New Roman"/>
      <w:sz w:val="24"/>
      <w:szCs w:val="24"/>
      <w:lang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137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C6D9F25F44A2F4DA66E4413BC60BDAA" ma:contentTypeVersion="6" ma:contentTypeDescription="Ein neues Dokument erstellen." ma:contentTypeScope="" ma:versionID="cebc3227e1d55a3b8cf5533fd8383123">
  <xsd:schema xmlns:xsd="http://www.w3.org/2001/XMLSchema" xmlns:xs="http://www.w3.org/2001/XMLSchema" xmlns:p="http://schemas.microsoft.com/office/2006/metadata/properties" xmlns:ns2="78747c9e-7982-4322-bf7a-24eba657e876" targetNamespace="http://schemas.microsoft.com/office/2006/metadata/properties" ma:root="true" ma:fieldsID="c4a743531aaf940b4eecfd178b0eb81e" ns2:_="">
    <xsd:import namespace="78747c9e-7982-4322-bf7a-24eba657e87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747c9e-7982-4322-bf7a-24eba657e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BFC6A4-056C-4ED0-B6EE-FDEAD6082BC8}">
  <ds:schemaRefs>
    <ds:schemaRef ds:uri="http://schemas.microsoft.com/sharepoint/v3/contenttype/forms"/>
  </ds:schemaRefs>
</ds:datastoreItem>
</file>

<file path=customXml/itemProps2.xml><?xml version="1.0" encoding="utf-8"?>
<ds:datastoreItem xmlns:ds="http://schemas.openxmlformats.org/officeDocument/2006/customXml" ds:itemID="{67A3A2F2-2233-49FF-85AE-958EACBC44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747c9e-7982-4322-bf7a-24eba657e8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5781B7-48DC-4558-9811-EC3D326F701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5F2CDCE-0F4A-4875-B56C-24D227CC2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1359</Words>
  <Characters>7750</Characters>
  <Application>Microsoft Office Word</Application>
  <DocSecurity>0</DocSecurity>
  <Lines>64</Lines>
  <Paragraphs>18</Paragraphs>
  <ScaleCrop>false</ScaleCrop>
  <HeadingPairs>
    <vt:vector size="2" baseType="variant">
      <vt:variant>
        <vt:lpstr>Titel</vt:lpstr>
      </vt:variant>
      <vt:variant>
        <vt:i4>1</vt:i4>
      </vt:variant>
    </vt:vector>
  </HeadingPairs>
  <TitlesOfParts>
    <vt:vector size="1" baseType="lpstr">
      <vt:lpstr/>
    </vt:vector>
  </TitlesOfParts>
  <Company>OeBB - BCC GmbH</Company>
  <LinksUpToDate>false</LinksUpToDate>
  <CharactersWithSpaces>9091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Leiter Martin (Holding)</dc:creator>
  <cp:keywords/>
  <dc:description/>
  <cp:lastModifiedBy>Beichbuchner, Fritz</cp:lastModifiedBy>
  <cp:revision>4</cp:revision>
  <dcterms:created xsi:type="dcterms:W3CDTF">2020-05-06T14:43:00Z</dcterms:created>
  <dcterms:modified xsi:type="dcterms:W3CDTF">2021-02-18T09:35:00Z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0x0101005C6D9F25F44A2F4DA66E4413BC60BDAA</vt:lpwstr>
  </property>
  <property fmtid="{D5CDD505-2E9C-101B-9397-08002B2CF9AE}" pid="3" name="MSIP_Label_112e00b9-34e2-4b26-a577-af1fd0f9f7ee_Enabled">
    <vt:lpwstr>True</vt:lpwstr>
  </property>
  <property fmtid="{D5CDD505-2E9C-101B-9397-08002B2CF9AE}" pid="4" name="MSIP_Label_112e00b9-34e2-4b26-a577-af1fd0f9f7ee_SiteId">
    <vt:lpwstr>33440fc6-b7c7-412c-bb73-0e70b0198d5a</vt:lpwstr>
  </property>
  <property fmtid="{D5CDD505-2E9C-101B-9397-08002B2CF9AE}" pid="5" name="MSIP_Label_112e00b9-34e2-4b26-a577-af1fd0f9f7ee_Owner">
    <vt:lpwstr>fritz.beichbuchner@atos.net</vt:lpwstr>
  </property>
  <property fmtid="{D5CDD505-2E9C-101B-9397-08002B2CF9AE}" pid="6" name="MSIP_Label_112e00b9-34e2-4b26-a577-af1fd0f9f7ee_SetDate">
    <vt:lpwstr>2021-02-18T09:32:59.9052795Z</vt:lpwstr>
  </property>
  <property fmtid="{D5CDD505-2E9C-101B-9397-08002B2CF9AE}" pid="7" name="MSIP_Label_112e00b9-34e2-4b26-a577-af1fd0f9f7ee_Name">
    <vt:lpwstr>Atos For Internal Use</vt:lpwstr>
  </property>
  <property fmtid="{D5CDD505-2E9C-101B-9397-08002B2CF9AE}" pid="8" name="MSIP_Label_112e00b9-34e2-4b26-a577-af1fd0f9f7ee_Application">
    <vt:lpwstr>Microsoft Azure Information Protection</vt:lpwstr>
  </property>
  <property fmtid="{D5CDD505-2E9C-101B-9397-08002B2CF9AE}" pid="9" name="MSIP_Label_112e00b9-34e2-4b26-a577-af1fd0f9f7ee_ActionId">
    <vt:lpwstr>33cc16e3-4cb1-48a4-9d3d-b3d8e58a4598</vt:lpwstr>
  </property>
  <property fmtid="{D5CDD505-2E9C-101B-9397-08002B2CF9AE}" pid="10" name="MSIP_Label_112e00b9-34e2-4b26-a577-af1fd0f9f7ee_Extended_MSFT_Method">
    <vt:lpwstr>Automatic</vt:lpwstr>
  </property>
  <property fmtid="{D5CDD505-2E9C-101B-9397-08002B2CF9AE}" pid="11" name="MSIP_Label_e463cba9-5f6c-478d-9329-7b2295e4e8ed_Enabled">
    <vt:lpwstr>True</vt:lpwstr>
  </property>
  <property fmtid="{D5CDD505-2E9C-101B-9397-08002B2CF9AE}" pid="12" name="MSIP_Label_e463cba9-5f6c-478d-9329-7b2295e4e8ed_SiteId">
    <vt:lpwstr>33440fc6-b7c7-412c-bb73-0e70b0198d5a</vt:lpwstr>
  </property>
  <property fmtid="{D5CDD505-2E9C-101B-9397-08002B2CF9AE}" pid="13" name="MSIP_Label_e463cba9-5f6c-478d-9329-7b2295e4e8ed_Owner">
    <vt:lpwstr>fritz.beichbuchner@atos.net</vt:lpwstr>
  </property>
  <property fmtid="{D5CDD505-2E9C-101B-9397-08002B2CF9AE}" pid="14" name="MSIP_Label_e463cba9-5f6c-478d-9329-7b2295e4e8ed_SetDate">
    <vt:lpwstr>2021-02-18T09:32:59.9052795Z</vt:lpwstr>
  </property>
  <property fmtid="{D5CDD505-2E9C-101B-9397-08002B2CF9AE}" pid="15" name="MSIP_Label_e463cba9-5f6c-478d-9329-7b2295e4e8ed_Name">
    <vt:lpwstr>Atos For Internal Use - All Employees</vt:lpwstr>
  </property>
  <property fmtid="{D5CDD505-2E9C-101B-9397-08002B2CF9AE}" pid="16" name="MSIP_Label_e463cba9-5f6c-478d-9329-7b2295e4e8ed_Application">
    <vt:lpwstr>Microsoft Azure Information Protection</vt:lpwstr>
  </property>
  <property fmtid="{D5CDD505-2E9C-101B-9397-08002B2CF9AE}" pid="17" name="MSIP_Label_e463cba9-5f6c-478d-9329-7b2295e4e8ed_ActionId">
    <vt:lpwstr>33cc16e3-4cb1-48a4-9d3d-b3d8e58a4598</vt:lpwstr>
  </property>
  <property fmtid="{D5CDD505-2E9C-101B-9397-08002B2CF9AE}" pid="18" name="MSIP_Label_e463cba9-5f6c-478d-9329-7b2295e4e8ed_Parent">
    <vt:lpwstr>112e00b9-34e2-4b26-a577-af1fd0f9f7ee</vt:lpwstr>
  </property>
  <property fmtid="{D5CDD505-2E9C-101B-9397-08002B2CF9AE}" pid="19" name="MSIP_Label_e463cba9-5f6c-478d-9329-7b2295e4e8ed_Extended_MSFT_Method">
    <vt:lpwstr>Automatic</vt:lpwstr>
  </property>
  <property fmtid="{D5CDD505-2E9C-101B-9397-08002B2CF9AE}" pid="20" name="MSIP_Label_0cda0c22-3e77-43b9-8faf-0bad2baf7893_Enabled">
    <vt:lpwstr>True</vt:lpwstr>
  </property>
  <property fmtid="{D5CDD505-2E9C-101B-9397-08002B2CF9AE}" pid="21" name="MSIP_Label_0cda0c22-3e77-43b9-8faf-0bad2baf7893_SiteId">
    <vt:lpwstr>085c0b65-6a84-4006-851e-5faa7ec5367e</vt:lpwstr>
  </property>
  <property fmtid="{D5CDD505-2E9C-101B-9397-08002B2CF9AE}" pid="22" name="MSIP_Label_0cda0c22-3e77-43b9-8faf-0bad2baf7893_Owner">
    <vt:lpwstr>martin.leiter@oebb.at</vt:lpwstr>
  </property>
  <property fmtid="{D5CDD505-2E9C-101B-9397-08002B2CF9AE}" pid="23" name="MSIP_Label_0cda0c22-3e77-43b9-8faf-0bad2baf7893_SetDate">
    <vt:lpwstr>2020-04-07T06:18:31.9624746Z</vt:lpwstr>
  </property>
  <property fmtid="{D5CDD505-2E9C-101B-9397-08002B2CF9AE}" pid="24" name="MSIP_Label_0cda0c22-3e77-43b9-8faf-0bad2baf7893_Name">
    <vt:lpwstr>TLP yellow</vt:lpwstr>
  </property>
  <property fmtid="{D5CDD505-2E9C-101B-9397-08002B2CF9AE}" pid="25" name="MSIP_Label_0cda0c22-3e77-43b9-8faf-0bad2baf7893_Application">
    <vt:lpwstr>Microsoft Azure Information Protection</vt:lpwstr>
  </property>
  <property fmtid="{D5CDD505-2E9C-101B-9397-08002B2CF9AE}" pid="26" name="MSIP_Label_0cda0c22-3e77-43b9-8faf-0bad2baf7893_ActionId">
    <vt:lpwstr>04830114-c697-4fca-9cdf-da03c26844e6</vt:lpwstr>
  </property>
  <property fmtid="{D5CDD505-2E9C-101B-9397-08002B2CF9AE}" pid="27" name="MSIP_Label_0cda0c22-3e77-43b9-8faf-0bad2baf7893_Extended_MSFT_Method">
    <vt:lpwstr>Automatic</vt:lpwstr>
  </property>
  <property fmtid="{D5CDD505-2E9C-101B-9397-08002B2CF9AE}" pid="28" name="Sensitivity">
    <vt:lpwstr>Atos For Internal Use Atos For Internal Use - All Employees TLP yellow</vt:lpwstr>
  </property>
</Properties>
</file>