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Title"/>
        <w:spacing w:line="360" w:lineRule="auto"/>
        <w:rPr>
          <w:sz w:val="34"/>
          <w:szCs w:val="34"/>
        </w:rPr>
      </w:pPr>
      <w:bookmarkStart w:colFirst="0" w:colLast="0" w:name="_sacb774069pb" w:id="0"/>
      <w:bookmarkEnd w:id="0"/>
      <w:r w:rsidDel="00000000" w:rsidR="00000000" w:rsidRPr="00000000">
        <w:rPr>
          <w:sz w:val="34"/>
          <w:szCs w:val="34"/>
          <w:rtl w:val="0"/>
        </w:rPr>
        <w:t xml:space="preserve">Advocacy program maturity model</w:t>
      </w:r>
    </w:p>
    <w:p w:rsidR="00000000" w:rsidDel="00000000" w:rsidP="00000000" w:rsidRDefault="00000000" w:rsidRPr="00000000" w14:paraId="00000002">
      <w:pPr>
        <w:spacing w:line="36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line="360" w:lineRule="auto"/>
        <w:rPr/>
      </w:pPr>
      <w:r w:rsidDel="00000000" w:rsidR="00000000" w:rsidRPr="00000000">
        <w:rPr>
          <w:rtl w:val="0"/>
        </w:rPr>
        <w:t xml:space="preserve">Assess where your customer advocacy program stands today and prioritize the investments required to reach the next level.</w:t>
      </w:r>
    </w:p>
    <w:p w:rsidR="00000000" w:rsidDel="00000000" w:rsidP="00000000" w:rsidRDefault="00000000" w:rsidRPr="00000000" w14:paraId="00000004">
      <w:pPr>
        <w:spacing w:line="360" w:lineRule="auto"/>
        <w:rPr/>
      </w:pPr>
      <w:r w:rsidDel="00000000" w:rsidR="00000000" w:rsidRPr="00000000">
        <w:rPr>
          <w:rtl w:val="0"/>
        </w:rPr>
        <w:t xml:space="preserve">This maturity model helps customer marketing, CX, and support leaders objectively assess current capabilities, create a shared language with leadership, and build a 12‑month improvement plan.</w:t>
      </w:r>
    </w:p>
    <w:p w:rsidR="00000000" w:rsidDel="00000000" w:rsidP="00000000" w:rsidRDefault="00000000" w:rsidRPr="00000000" w14:paraId="00000005">
      <w:pPr>
        <w:spacing w:after="160" w:line="360" w:lineRule="auto"/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after="160" w:line="360" w:lineRule="auto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How to use this template</w:t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spacing w:after="0" w:afterAutospacing="0" w:before="240" w:line="360" w:lineRule="auto"/>
        <w:ind w:left="720" w:hanging="360"/>
        <w:rPr/>
      </w:pPr>
      <w:r w:rsidDel="00000000" w:rsidR="00000000" w:rsidRPr="00000000">
        <w:rPr>
          <w:rtl w:val="0"/>
        </w:rPr>
        <w:t xml:space="preserve">For each dimension below, choose the stage (1–4) that best describes your current operating reality.</w:t>
      </w:r>
    </w:p>
    <w:p w:rsidR="00000000" w:rsidDel="00000000" w:rsidP="00000000" w:rsidRDefault="00000000" w:rsidRPr="00000000" w14:paraId="00000008">
      <w:pPr>
        <w:numPr>
          <w:ilvl w:val="0"/>
          <w:numId w:val="1"/>
        </w:numPr>
        <w:spacing w:after="0" w:afterAutospacing="0" w:before="0" w:beforeAutospacing="0" w:line="360" w:lineRule="auto"/>
        <w:ind w:left="720" w:hanging="360"/>
        <w:rPr/>
      </w:pPr>
      <w:r w:rsidDel="00000000" w:rsidR="00000000" w:rsidRPr="00000000">
        <w:rPr>
          <w:rtl w:val="0"/>
        </w:rPr>
        <w:t xml:space="preserve">Total your scores to determine your current maturity level.</w:t>
      </w:r>
    </w:p>
    <w:p w:rsidR="00000000" w:rsidDel="00000000" w:rsidP="00000000" w:rsidRDefault="00000000" w:rsidRPr="00000000" w14:paraId="00000009">
      <w:pPr>
        <w:numPr>
          <w:ilvl w:val="0"/>
          <w:numId w:val="1"/>
        </w:numPr>
        <w:spacing w:after="400" w:before="0" w:beforeAutospacing="0" w:line="360" w:lineRule="auto"/>
        <w:ind w:left="720" w:hanging="360"/>
        <w:rPr/>
      </w:pPr>
      <w:r w:rsidDel="00000000" w:rsidR="00000000" w:rsidRPr="00000000">
        <w:rPr>
          <w:rtl w:val="0"/>
        </w:rPr>
        <w:t xml:space="preserve">Set a target score for 12 months and list 2–3 concrete actions to move each dimension forward.</w:t>
      </w:r>
    </w:p>
    <w:p w:rsidR="00000000" w:rsidDel="00000000" w:rsidP="00000000" w:rsidRDefault="00000000" w:rsidRPr="00000000" w14:paraId="0000000A">
      <w:pPr>
        <w:spacing w:after="160" w:line="360" w:lineRule="auto"/>
        <w:rPr>
          <w:b w:val="1"/>
          <w:bCs w:val="1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pacing w:after="160" w:line="360" w:lineRule="auto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The advocacy maturity matrix</w:t>
      </w:r>
    </w:p>
    <w:p w:rsidR="00000000" w:rsidDel="00000000" w:rsidP="00000000" w:rsidRDefault="00000000" w:rsidRPr="00000000" w14:paraId="0000000C">
      <w:pPr>
        <w:spacing w:after="160" w:line="360" w:lineRule="auto"/>
        <w:rPr/>
      </w:pPr>
      <w:r w:rsidDel="00000000" w:rsidR="00000000" w:rsidRPr="00000000">
        <w:rPr>
          <w:rtl w:val="0"/>
        </w:rPr>
        <w:t xml:space="preserve">For each row, check the stage that best describes your current operations.</w:t>
      </w:r>
    </w:p>
    <w:p w:rsidR="00000000" w:rsidDel="00000000" w:rsidP="00000000" w:rsidRDefault="00000000" w:rsidRPr="00000000" w14:paraId="0000000D">
      <w:pPr>
        <w:spacing w:after="160" w:line="360" w:lineRule="auto"/>
        <w:rPr/>
      </w:pPr>
      <w:r w:rsidDel="00000000" w:rsidR="00000000" w:rsidRPr="00000000">
        <w:rPr>
          <w:rtl w:val="0"/>
        </w:rPr>
      </w:r>
    </w:p>
    <w:tbl>
      <w:tblPr>
        <w:tblStyle w:val="Table1"/>
        <w:tblW w:w="13575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2055"/>
        <w:gridCol w:w="2880"/>
        <w:gridCol w:w="2880"/>
        <w:gridCol w:w="2880"/>
        <w:gridCol w:w="2880"/>
        <w:tblGridChange w:id="0">
          <w:tblGrid>
            <w:gridCol w:w="2055"/>
            <w:gridCol w:w="2880"/>
            <w:gridCol w:w="2880"/>
            <w:gridCol w:w="2880"/>
            <w:gridCol w:w="2880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shd w:fill="000000" w:val="clear"/>
            <w:tcMar>
              <w:top w:w="60.0" w:type="dxa"/>
              <w:left w:w="60.0" w:type="dxa"/>
              <w:bottom w:w="60.0" w:type="dxa"/>
              <w:right w:w="60.0" w:type="dxa"/>
            </w:tcMar>
            <w:vAlign w:val="center"/>
          </w:tcPr>
          <w:p w:rsidR="00000000" w:rsidDel="00000000" w:rsidP="00000000" w:rsidRDefault="00000000" w:rsidRPr="00000000" w14:paraId="0000000E">
            <w:pPr>
              <w:widowControl w:val="0"/>
              <w:spacing w:after="0" w:line="360" w:lineRule="auto"/>
              <w:rPr>
                <w:b w:val="1"/>
                <w:bCs w:val="1"/>
                <w:color w:val="ffffff"/>
              </w:rPr>
            </w:pPr>
            <w:r w:rsidDel="00000000" w:rsidR="00000000" w:rsidRPr="00000000">
              <w:rPr>
                <w:b w:val="1"/>
                <w:bCs w:val="1"/>
                <w:color w:val="ffffff"/>
                <w:rtl w:val="0"/>
              </w:rPr>
              <w:t xml:space="preserve">Dimension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shd w:fill="000000" w:val="clear"/>
            <w:tcMar>
              <w:top w:w="60.0" w:type="dxa"/>
              <w:left w:w="60.0" w:type="dxa"/>
              <w:bottom w:w="60.0" w:type="dxa"/>
              <w:right w:w="60.0" w:type="dxa"/>
            </w:tcMar>
            <w:vAlign w:val="center"/>
          </w:tcPr>
          <w:p w:rsidR="00000000" w:rsidDel="00000000" w:rsidP="00000000" w:rsidRDefault="00000000" w:rsidRPr="00000000" w14:paraId="0000000F">
            <w:pPr>
              <w:widowControl w:val="0"/>
              <w:spacing w:after="0" w:line="360" w:lineRule="auto"/>
              <w:rPr>
                <w:b w:val="1"/>
                <w:bCs w:val="1"/>
                <w:color w:val="ffffff"/>
              </w:rPr>
            </w:pPr>
            <w:r w:rsidDel="00000000" w:rsidR="00000000" w:rsidRPr="00000000">
              <w:rPr>
                <w:b w:val="1"/>
                <w:bCs w:val="1"/>
                <w:color w:val="ffffff"/>
                <w:rtl w:val="0"/>
              </w:rPr>
              <w:t xml:space="preserve">Stage 1: Ad-hoc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shd w:fill="000000" w:val="clear"/>
            <w:tcMar>
              <w:top w:w="60.0" w:type="dxa"/>
              <w:left w:w="60.0" w:type="dxa"/>
              <w:bottom w:w="60.0" w:type="dxa"/>
              <w:right w:w="60.0" w:type="dxa"/>
            </w:tcMar>
            <w:vAlign w:val="center"/>
          </w:tcPr>
          <w:p w:rsidR="00000000" w:rsidDel="00000000" w:rsidP="00000000" w:rsidRDefault="00000000" w:rsidRPr="00000000" w14:paraId="00000010">
            <w:pPr>
              <w:widowControl w:val="0"/>
              <w:spacing w:after="0" w:line="360" w:lineRule="auto"/>
              <w:rPr>
                <w:b w:val="1"/>
                <w:bCs w:val="1"/>
                <w:color w:val="ffffff"/>
              </w:rPr>
            </w:pPr>
            <w:r w:rsidDel="00000000" w:rsidR="00000000" w:rsidRPr="00000000">
              <w:rPr>
                <w:b w:val="1"/>
                <w:bCs w:val="1"/>
                <w:color w:val="ffffff"/>
                <w:rtl w:val="0"/>
              </w:rPr>
              <w:t xml:space="preserve">Stage 2: Defined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shd w:fill="000000" w:val="clear"/>
            <w:tcMar>
              <w:top w:w="60.0" w:type="dxa"/>
              <w:left w:w="60.0" w:type="dxa"/>
              <w:bottom w:w="60.0" w:type="dxa"/>
              <w:right w:w="60.0" w:type="dxa"/>
            </w:tcMar>
            <w:vAlign w:val="center"/>
          </w:tcPr>
          <w:p w:rsidR="00000000" w:rsidDel="00000000" w:rsidP="00000000" w:rsidRDefault="00000000" w:rsidRPr="00000000" w14:paraId="00000011">
            <w:pPr>
              <w:widowControl w:val="0"/>
              <w:spacing w:after="0" w:line="360" w:lineRule="auto"/>
              <w:rPr>
                <w:b w:val="1"/>
                <w:bCs w:val="1"/>
                <w:color w:val="ffffff"/>
              </w:rPr>
            </w:pPr>
            <w:r w:rsidDel="00000000" w:rsidR="00000000" w:rsidRPr="00000000">
              <w:rPr>
                <w:b w:val="1"/>
                <w:bCs w:val="1"/>
                <w:color w:val="ffffff"/>
                <w:rtl w:val="0"/>
              </w:rPr>
              <w:t xml:space="preserve">Stage 3: Managed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shd w:fill="000000" w:val="clear"/>
            <w:tcMar>
              <w:top w:w="60.0" w:type="dxa"/>
              <w:left w:w="60.0" w:type="dxa"/>
              <w:bottom w:w="60.0" w:type="dxa"/>
              <w:right w:w="60.0" w:type="dxa"/>
            </w:tcMar>
            <w:vAlign w:val="center"/>
          </w:tcPr>
          <w:p w:rsidR="00000000" w:rsidDel="00000000" w:rsidP="00000000" w:rsidRDefault="00000000" w:rsidRPr="00000000" w14:paraId="00000012">
            <w:pPr>
              <w:widowControl w:val="0"/>
              <w:spacing w:after="0" w:line="360" w:lineRule="auto"/>
              <w:rPr>
                <w:b w:val="1"/>
                <w:bCs w:val="1"/>
                <w:color w:val="ffffff"/>
              </w:rPr>
            </w:pPr>
            <w:r w:rsidDel="00000000" w:rsidR="00000000" w:rsidRPr="00000000">
              <w:rPr>
                <w:b w:val="1"/>
                <w:bCs w:val="1"/>
                <w:color w:val="ffffff"/>
                <w:rtl w:val="0"/>
              </w:rPr>
              <w:t xml:space="preserve">Stage 4: Embedded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tcMar>
              <w:top w:w="60.0" w:type="dxa"/>
              <w:left w:w="60.0" w:type="dxa"/>
              <w:bottom w:w="60.0" w:type="dxa"/>
              <w:right w:w="60.0" w:type="dxa"/>
            </w:tcMar>
            <w:vAlign w:val="top"/>
          </w:tcPr>
          <w:p w:rsidR="00000000" w:rsidDel="00000000" w:rsidP="00000000" w:rsidRDefault="00000000" w:rsidRPr="00000000" w14:paraId="00000013">
            <w:pPr>
              <w:widowControl w:val="0"/>
              <w:spacing w:after="0" w:line="360" w:lineRule="auto"/>
              <w:rPr>
                <w:b w:val="1"/>
                <w:bCs w:val="1"/>
                <w:color w:val="000000"/>
              </w:rPr>
            </w:pPr>
            <w:r w:rsidDel="00000000" w:rsidR="00000000" w:rsidRPr="00000000">
              <w:rPr>
                <w:b w:val="1"/>
                <w:bCs w:val="1"/>
                <w:color w:val="000000"/>
                <w:rtl w:val="0"/>
              </w:rPr>
              <w:t xml:space="preserve">Strategy &amp; executive sponsorship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tcMar>
              <w:top w:w="60.0" w:type="dxa"/>
              <w:left w:w="60.0" w:type="dxa"/>
              <w:bottom w:w="60.0" w:type="dxa"/>
              <w:right w:w="60.0" w:type="dxa"/>
            </w:tcMar>
            <w:vAlign w:val="top"/>
          </w:tcPr>
          <w:p w:rsidR="00000000" w:rsidDel="00000000" w:rsidP="00000000" w:rsidRDefault="00000000" w:rsidRPr="00000000" w14:paraId="00000014">
            <w:pPr>
              <w:widowControl w:val="0"/>
              <w:spacing w:after="0" w:line="360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Advocacy is reactive and request-led. No clear mission or executive sponsor.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tcMar>
              <w:top w:w="60.0" w:type="dxa"/>
              <w:left w:w="60.0" w:type="dxa"/>
              <w:bottom w:w="60.0" w:type="dxa"/>
              <w:right w:w="60.0" w:type="dxa"/>
            </w:tcMar>
            <w:vAlign w:val="top"/>
          </w:tcPr>
          <w:p w:rsidR="00000000" w:rsidDel="00000000" w:rsidP="00000000" w:rsidRDefault="00000000" w:rsidRPr="00000000" w14:paraId="00000015">
            <w:pPr>
              <w:widowControl w:val="0"/>
              <w:spacing w:after="0" w:line="360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Program goals exist, but priorities shift. Limited sponsor influence or budget.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tcMar>
              <w:top w:w="60.0" w:type="dxa"/>
              <w:left w:w="60.0" w:type="dxa"/>
              <w:bottom w:w="60.0" w:type="dxa"/>
              <w:right w:w="60.0" w:type="dxa"/>
            </w:tcMar>
            <w:vAlign w:val="top"/>
          </w:tcPr>
          <w:p w:rsidR="00000000" w:rsidDel="00000000" w:rsidP="00000000" w:rsidRDefault="00000000" w:rsidRPr="00000000" w14:paraId="00000016">
            <w:pPr>
              <w:widowControl w:val="0"/>
              <w:spacing w:after="0" w:line="360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Advocacy goals align </w:t>
            </w:r>
            <w:r w:rsidDel="00000000" w:rsidR="00000000" w:rsidRPr="00000000">
              <w:rPr>
                <w:color w:val="000000"/>
                <w:rtl w:val="0"/>
              </w:rPr>
              <w:t xml:space="preserve">with</w:t>
            </w:r>
            <w:r w:rsidDel="00000000" w:rsidR="00000000" w:rsidRPr="00000000">
              <w:rPr>
                <w:color w:val="000000"/>
                <w:rtl w:val="0"/>
              </w:rPr>
              <w:t xml:space="preserve"> company priorities (retention, pipeline, expansion). Dedicated budget and sponsor support.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tcMar>
              <w:top w:w="60.0" w:type="dxa"/>
              <w:left w:w="60.0" w:type="dxa"/>
              <w:bottom w:w="60.0" w:type="dxa"/>
              <w:right w:w="60.0" w:type="dxa"/>
            </w:tcMar>
            <w:vAlign w:val="top"/>
          </w:tcPr>
          <w:p w:rsidR="00000000" w:rsidDel="00000000" w:rsidP="00000000" w:rsidRDefault="00000000" w:rsidRPr="00000000" w14:paraId="00000017">
            <w:pPr>
              <w:widowControl w:val="0"/>
              <w:spacing w:after="0" w:line="360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Advocacy is a strategic growth lever. Leaders actively champion it and bake it into GTM planning.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tcMar>
              <w:top w:w="60.0" w:type="dxa"/>
              <w:left w:w="60.0" w:type="dxa"/>
              <w:bottom w:w="60.0" w:type="dxa"/>
              <w:right w:w="60.0" w:type="dxa"/>
            </w:tcMar>
            <w:vAlign w:val="top"/>
          </w:tcPr>
          <w:p w:rsidR="00000000" w:rsidDel="00000000" w:rsidP="00000000" w:rsidRDefault="00000000" w:rsidRPr="00000000" w14:paraId="00000018">
            <w:pPr>
              <w:widowControl w:val="0"/>
              <w:spacing w:after="0" w:line="360" w:lineRule="auto"/>
              <w:rPr>
                <w:b w:val="1"/>
                <w:bCs w:val="1"/>
                <w:color w:val="000000"/>
              </w:rPr>
            </w:pPr>
            <w:r w:rsidDel="00000000" w:rsidR="00000000" w:rsidRPr="00000000">
              <w:rPr>
                <w:b w:val="1"/>
                <w:bCs w:val="1"/>
                <w:color w:val="000000"/>
                <w:rtl w:val="0"/>
              </w:rPr>
              <w:t xml:space="preserve">Advocate identification &amp; recruitment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tcMar>
              <w:top w:w="60.0" w:type="dxa"/>
              <w:left w:w="60.0" w:type="dxa"/>
              <w:bottom w:w="60.0" w:type="dxa"/>
              <w:right w:w="60.0" w:type="dxa"/>
            </w:tcMar>
            <w:vAlign w:val="top"/>
          </w:tcPr>
          <w:p w:rsidR="00000000" w:rsidDel="00000000" w:rsidP="00000000" w:rsidRDefault="00000000" w:rsidRPr="00000000" w14:paraId="00000019">
            <w:pPr>
              <w:widowControl w:val="0"/>
              <w:spacing w:after="0" w:line="360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Names live in spreadsheets or tribal knowledge. Recruitment is opportunistic.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tcMar>
              <w:top w:w="60.0" w:type="dxa"/>
              <w:left w:w="60.0" w:type="dxa"/>
              <w:bottom w:w="60.0" w:type="dxa"/>
              <w:right w:w="60.0" w:type="dxa"/>
            </w:tcMar>
            <w:vAlign w:val="top"/>
          </w:tcPr>
          <w:p w:rsidR="00000000" w:rsidDel="00000000" w:rsidP="00000000" w:rsidRDefault="00000000" w:rsidRPr="00000000" w14:paraId="0000001A">
            <w:pPr>
              <w:widowControl w:val="0"/>
              <w:spacing w:after="0" w:line="360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Basic nomination paths exist (CS referrals, events), but inconsistent cadence and targeting.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tcMar>
              <w:top w:w="60.0" w:type="dxa"/>
              <w:left w:w="60.0" w:type="dxa"/>
              <w:bottom w:w="60.0" w:type="dxa"/>
              <w:right w:w="60.0" w:type="dxa"/>
            </w:tcMar>
            <w:vAlign w:val="top"/>
          </w:tcPr>
          <w:p w:rsidR="00000000" w:rsidDel="00000000" w:rsidP="00000000" w:rsidRDefault="00000000" w:rsidRPr="00000000" w14:paraId="0000001B">
            <w:pPr>
              <w:widowControl w:val="0"/>
              <w:spacing w:after="0" w:line="360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Multi-channel recruitment engine with clear ICP/personas, SLAs, and regional participation.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tcMar>
              <w:top w:w="60.0" w:type="dxa"/>
              <w:left w:w="60.0" w:type="dxa"/>
              <w:bottom w:w="60.0" w:type="dxa"/>
              <w:right w:w="60.0" w:type="dxa"/>
            </w:tcMar>
            <w:vAlign w:val="top"/>
          </w:tcPr>
          <w:p w:rsidR="00000000" w:rsidDel="00000000" w:rsidP="00000000" w:rsidRDefault="00000000" w:rsidRPr="00000000" w14:paraId="0000001C">
            <w:pPr>
              <w:widowControl w:val="0"/>
              <w:spacing w:after="0" w:line="360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Predictive/intent signals and lifecycle triggers surface advocates proactively; </w:t>
            </w:r>
            <w:r w:rsidDel="00000000" w:rsidR="00000000" w:rsidRPr="00000000">
              <w:rPr>
                <w:color w:val="000000"/>
                <w:rtl w:val="0"/>
              </w:rPr>
              <w:t xml:space="preserve">a </w:t>
            </w:r>
            <w:r w:rsidDel="00000000" w:rsidR="00000000" w:rsidRPr="00000000">
              <w:rPr>
                <w:color w:val="000000"/>
                <w:rtl w:val="0"/>
              </w:rPr>
              <w:t xml:space="preserve">continuous pipeline of advocates.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tcMar>
              <w:top w:w="60.0" w:type="dxa"/>
              <w:left w:w="60.0" w:type="dxa"/>
              <w:bottom w:w="60.0" w:type="dxa"/>
              <w:right w:w="60.0" w:type="dxa"/>
            </w:tcMar>
            <w:vAlign w:val="top"/>
          </w:tcPr>
          <w:p w:rsidR="00000000" w:rsidDel="00000000" w:rsidP="00000000" w:rsidRDefault="00000000" w:rsidRPr="00000000" w14:paraId="0000001D">
            <w:pPr>
              <w:widowControl w:val="0"/>
              <w:spacing w:after="0" w:line="360" w:lineRule="auto"/>
              <w:rPr>
                <w:b w:val="1"/>
                <w:bCs w:val="1"/>
                <w:color w:val="000000"/>
              </w:rPr>
            </w:pPr>
            <w:r w:rsidDel="00000000" w:rsidR="00000000" w:rsidRPr="00000000">
              <w:rPr>
                <w:b w:val="1"/>
                <w:bCs w:val="1"/>
                <w:color w:val="000000"/>
                <w:rtl w:val="0"/>
              </w:rPr>
              <w:t xml:space="preserve">Value exchange &amp; program design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tcMar>
              <w:top w:w="60.0" w:type="dxa"/>
              <w:left w:w="60.0" w:type="dxa"/>
              <w:bottom w:w="60.0" w:type="dxa"/>
              <w:right w:w="60.0" w:type="dxa"/>
            </w:tcMar>
            <w:vAlign w:val="top"/>
          </w:tcPr>
          <w:p w:rsidR="00000000" w:rsidDel="00000000" w:rsidP="00000000" w:rsidRDefault="00000000" w:rsidRPr="00000000" w14:paraId="0000001E">
            <w:pPr>
              <w:widowControl w:val="0"/>
              <w:spacing w:after="0" w:line="360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Benefits are unclear; </w:t>
            </w:r>
            <w:r w:rsidDel="00000000" w:rsidR="00000000" w:rsidRPr="00000000">
              <w:rPr>
                <w:color w:val="000000"/>
                <w:rtl w:val="0"/>
              </w:rPr>
              <w:t xml:space="preserve">participation is one-</w:t>
            </w:r>
            <w:r w:rsidDel="00000000" w:rsidR="00000000" w:rsidRPr="00000000">
              <w:rPr>
                <w:color w:val="000000"/>
                <w:rtl w:val="0"/>
              </w:rPr>
              <w:t xml:space="preserve">sided.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tcMar>
              <w:top w:w="60.0" w:type="dxa"/>
              <w:left w:w="60.0" w:type="dxa"/>
              <w:bottom w:w="60.0" w:type="dxa"/>
              <w:right w:w="60.0" w:type="dxa"/>
            </w:tcMar>
            <w:vAlign w:val="top"/>
          </w:tcPr>
          <w:p w:rsidR="00000000" w:rsidDel="00000000" w:rsidP="00000000" w:rsidRDefault="00000000" w:rsidRPr="00000000" w14:paraId="0000001F">
            <w:pPr>
              <w:widowControl w:val="0"/>
              <w:spacing w:after="0" w:line="360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Some benefits exist (swag, recognition), but not matched to motivations.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tcMar>
              <w:top w:w="60.0" w:type="dxa"/>
              <w:left w:w="60.0" w:type="dxa"/>
              <w:bottom w:w="60.0" w:type="dxa"/>
              <w:right w:w="60.0" w:type="dxa"/>
            </w:tcMar>
            <w:vAlign w:val="top"/>
          </w:tcPr>
          <w:p w:rsidR="00000000" w:rsidDel="00000000" w:rsidP="00000000" w:rsidRDefault="00000000" w:rsidRPr="00000000" w14:paraId="00000020">
            <w:pPr>
              <w:widowControl w:val="0"/>
              <w:spacing w:after="0" w:line="360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Structured value model (e.g., status/access/networking/education/rewards) with tiers and clear pathways.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tcMar>
              <w:top w:w="60.0" w:type="dxa"/>
              <w:left w:w="60.0" w:type="dxa"/>
              <w:bottom w:w="60.0" w:type="dxa"/>
              <w:right w:w="60.0" w:type="dxa"/>
            </w:tcMar>
            <w:vAlign w:val="top"/>
          </w:tcPr>
          <w:p w:rsidR="00000000" w:rsidDel="00000000" w:rsidP="00000000" w:rsidRDefault="00000000" w:rsidRPr="00000000" w14:paraId="00000021">
            <w:pPr>
              <w:widowControl w:val="0"/>
              <w:spacing w:after="0" w:line="360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Value exchange is personalized by persona and region; advocates co-create offers and roadmap influence.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tcMar>
              <w:top w:w="60.0" w:type="dxa"/>
              <w:left w:w="60.0" w:type="dxa"/>
              <w:bottom w:w="60.0" w:type="dxa"/>
              <w:right w:w="60.0" w:type="dxa"/>
            </w:tcMar>
            <w:vAlign w:val="top"/>
          </w:tcPr>
          <w:p w:rsidR="00000000" w:rsidDel="00000000" w:rsidP="00000000" w:rsidRDefault="00000000" w:rsidRPr="00000000" w14:paraId="00000022">
            <w:pPr>
              <w:widowControl w:val="0"/>
              <w:spacing w:after="0" w:line="360" w:lineRule="auto"/>
              <w:rPr>
                <w:b w:val="1"/>
                <w:bCs w:val="1"/>
                <w:color w:val="000000"/>
              </w:rPr>
            </w:pPr>
            <w:r w:rsidDel="00000000" w:rsidR="00000000" w:rsidRPr="00000000">
              <w:rPr>
                <w:b w:val="1"/>
                <w:bCs w:val="1"/>
                <w:color w:val="000000"/>
                <w:rtl w:val="0"/>
              </w:rPr>
              <w:t xml:space="preserve">Operations &amp; enablement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tcMar>
              <w:top w:w="60.0" w:type="dxa"/>
              <w:left w:w="60.0" w:type="dxa"/>
              <w:bottom w:w="60.0" w:type="dxa"/>
              <w:right w:w="60.0" w:type="dxa"/>
            </w:tcMar>
            <w:vAlign w:val="top"/>
          </w:tcPr>
          <w:p w:rsidR="00000000" w:rsidDel="00000000" w:rsidP="00000000" w:rsidRDefault="00000000" w:rsidRPr="00000000" w14:paraId="00000023">
            <w:pPr>
              <w:widowControl w:val="0"/>
              <w:spacing w:after="0" w:line="360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Processes are manual; requests are handled case-by-case.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tcMar>
              <w:top w:w="60.0" w:type="dxa"/>
              <w:left w:w="60.0" w:type="dxa"/>
              <w:bottom w:w="60.0" w:type="dxa"/>
              <w:right w:w="60.0" w:type="dxa"/>
            </w:tcMar>
            <w:vAlign w:val="top"/>
          </w:tcPr>
          <w:p w:rsidR="00000000" w:rsidDel="00000000" w:rsidP="00000000" w:rsidRDefault="00000000" w:rsidRPr="00000000" w14:paraId="00000024">
            <w:pPr>
              <w:widowControl w:val="0"/>
              <w:spacing w:after="0" w:line="360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Repeatable workflows exist for core asks (case studies, reviews), but tooling and ownership gaps remain.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tcMar>
              <w:top w:w="60.0" w:type="dxa"/>
              <w:left w:w="60.0" w:type="dxa"/>
              <w:bottom w:w="60.0" w:type="dxa"/>
              <w:right w:w="60.0" w:type="dxa"/>
            </w:tcMar>
            <w:vAlign w:val="top"/>
          </w:tcPr>
          <w:p w:rsidR="00000000" w:rsidDel="00000000" w:rsidP="00000000" w:rsidRDefault="00000000" w:rsidRPr="00000000" w14:paraId="00000025">
            <w:pPr>
              <w:widowControl w:val="0"/>
              <w:spacing w:after="0" w:line="360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Intake, prioritization, and fulfillment are standardized; sales/CS can self-serve assets easily.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tcMar>
              <w:top w:w="60.0" w:type="dxa"/>
              <w:left w:w="60.0" w:type="dxa"/>
              <w:bottom w:w="60.0" w:type="dxa"/>
              <w:right w:w="60.0" w:type="dxa"/>
            </w:tcMar>
            <w:vAlign w:val="top"/>
          </w:tcPr>
          <w:p w:rsidR="00000000" w:rsidDel="00000000" w:rsidP="00000000" w:rsidRDefault="00000000" w:rsidRPr="00000000" w14:paraId="00000026">
            <w:pPr>
              <w:widowControl w:val="0"/>
              <w:spacing w:after="0" w:line="360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Advocacy is operationalized across teams with automation and clear governance; minimal friction to activate proof.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tcMar>
              <w:top w:w="60.0" w:type="dxa"/>
              <w:left w:w="60.0" w:type="dxa"/>
              <w:bottom w:w="60.0" w:type="dxa"/>
              <w:right w:w="60.0" w:type="dxa"/>
            </w:tcMar>
            <w:vAlign w:val="top"/>
          </w:tcPr>
          <w:p w:rsidR="00000000" w:rsidDel="00000000" w:rsidP="00000000" w:rsidRDefault="00000000" w:rsidRPr="00000000" w14:paraId="00000027">
            <w:pPr>
              <w:widowControl w:val="0"/>
              <w:spacing w:after="0" w:line="360" w:lineRule="auto"/>
              <w:rPr>
                <w:b w:val="1"/>
                <w:bCs w:val="1"/>
                <w:color w:val="000000"/>
              </w:rPr>
            </w:pPr>
            <w:r w:rsidDel="00000000" w:rsidR="00000000" w:rsidRPr="00000000">
              <w:rPr>
                <w:b w:val="1"/>
                <w:bCs w:val="1"/>
                <w:color w:val="000000"/>
                <w:rtl w:val="0"/>
              </w:rPr>
              <w:t xml:space="preserve">Channel &amp; access model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tcMar>
              <w:top w:w="60.0" w:type="dxa"/>
              <w:left w:w="60.0" w:type="dxa"/>
              <w:bottom w:w="60.0" w:type="dxa"/>
              <w:right w:w="60.0" w:type="dxa"/>
            </w:tcMar>
            <w:vAlign w:val="top"/>
          </w:tcPr>
          <w:p w:rsidR="00000000" w:rsidDel="00000000" w:rsidP="00000000" w:rsidRDefault="00000000" w:rsidRPr="00000000" w14:paraId="00000028">
            <w:pPr>
              <w:widowControl w:val="0"/>
              <w:spacing w:after="0" w:line="360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One primary channel (often community) and limited reach beyond it.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tcMar>
              <w:top w:w="60.0" w:type="dxa"/>
              <w:left w:w="60.0" w:type="dxa"/>
              <w:bottom w:w="60.0" w:type="dxa"/>
              <w:right w:w="60.0" w:type="dxa"/>
            </w:tcMar>
            <w:vAlign w:val="top"/>
          </w:tcPr>
          <w:p w:rsidR="00000000" w:rsidDel="00000000" w:rsidP="00000000" w:rsidRDefault="00000000" w:rsidRPr="00000000" w14:paraId="00000029">
            <w:pPr>
              <w:widowControl w:val="0"/>
              <w:spacing w:after="0" w:line="360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Email and community are used, but opportunities are still hard to discover.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tcMar>
              <w:top w:w="60.0" w:type="dxa"/>
              <w:left w:w="60.0" w:type="dxa"/>
              <w:bottom w:w="60.0" w:type="dxa"/>
              <w:right w:w="60.0" w:type="dxa"/>
            </w:tcMar>
            <w:vAlign w:val="top"/>
          </w:tcPr>
          <w:p w:rsidR="00000000" w:rsidDel="00000000" w:rsidP="00000000" w:rsidRDefault="00000000" w:rsidRPr="00000000" w14:paraId="0000002A">
            <w:pPr>
              <w:widowControl w:val="0"/>
              <w:spacing w:after="0" w:line="360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Inclusive comms (email + community + events) with a visible opportunity calendar and self-nomination.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tcMar>
              <w:top w:w="60.0" w:type="dxa"/>
              <w:left w:w="60.0" w:type="dxa"/>
              <w:bottom w:w="60.0" w:type="dxa"/>
              <w:right w:w="60.0" w:type="dxa"/>
            </w:tcMar>
            <w:vAlign w:val="top"/>
          </w:tcPr>
          <w:p w:rsidR="00000000" w:rsidDel="00000000" w:rsidP="00000000" w:rsidRDefault="00000000" w:rsidRPr="00000000" w14:paraId="0000002B">
            <w:pPr>
              <w:widowControl w:val="0"/>
              <w:spacing w:after="0" w:line="360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Omnichannel experiences and dynamic segmentation; advocates receive relevant asks at the right time.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tcMar>
              <w:top w:w="60.0" w:type="dxa"/>
              <w:left w:w="60.0" w:type="dxa"/>
              <w:bottom w:w="60.0" w:type="dxa"/>
              <w:right w:w="60.0" w:type="dxa"/>
            </w:tcMar>
            <w:vAlign w:val="top"/>
          </w:tcPr>
          <w:p w:rsidR="00000000" w:rsidDel="00000000" w:rsidP="00000000" w:rsidRDefault="00000000" w:rsidRPr="00000000" w14:paraId="0000002C">
            <w:pPr>
              <w:widowControl w:val="0"/>
              <w:spacing w:after="0" w:line="360" w:lineRule="auto"/>
              <w:rPr>
                <w:b w:val="1"/>
                <w:bCs w:val="1"/>
                <w:color w:val="000000"/>
              </w:rPr>
            </w:pPr>
            <w:r w:rsidDel="00000000" w:rsidR="00000000" w:rsidRPr="00000000">
              <w:rPr>
                <w:b w:val="1"/>
                <w:bCs w:val="1"/>
                <w:color w:val="000000"/>
                <w:rtl w:val="0"/>
              </w:rPr>
              <w:t xml:space="preserve">Rewards &amp; compliance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tcMar>
              <w:top w:w="60.0" w:type="dxa"/>
              <w:left w:w="60.0" w:type="dxa"/>
              <w:bottom w:w="60.0" w:type="dxa"/>
              <w:right w:w="60.0" w:type="dxa"/>
            </w:tcMar>
            <w:vAlign w:val="top"/>
          </w:tcPr>
          <w:p w:rsidR="00000000" w:rsidDel="00000000" w:rsidP="00000000" w:rsidRDefault="00000000" w:rsidRPr="00000000" w14:paraId="0000002D">
            <w:pPr>
              <w:widowControl w:val="0"/>
              <w:spacing w:after="0" w:line="360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Rewards are improvised; compliance constraints regularly block recognition.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tcMar>
              <w:top w:w="60.0" w:type="dxa"/>
              <w:left w:w="60.0" w:type="dxa"/>
              <w:bottom w:w="60.0" w:type="dxa"/>
              <w:right w:w="60.0" w:type="dxa"/>
            </w:tcMar>
            <w:vAlign w:val="top"/>
          </w:tcPr>
          <w:p w:rsidR="00000000" w:rsidDel="00000000" w:rsidP="00000000" w:rsidRDefault="00000000" w:rsidRPr="00000000" w14:paraId="0000002E">
            <w:pPr>
              <w:widowControl w:val="0"/>
              <w:spacing w:after="0" w:line="360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Basic guidelines exist (caps, approvals), but rewards are still mostly transactional.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tcMar>
              <w:top w:w="60.0" w:type="dxa"/>
              <w:left w:w="60.0" w:type="dxa"/>
              <w:bottom w:w="60.0" w:type="dxa"/>
              <w:right w:w="60.0" w:type="dxa"/>
            </w:tcMar>
            <w:vAlign w:val="top"/>
          </w:tcPr>
          <w:p w:rsidR="00000000" w:rsidDel="00000000" w:rsidP="00000000" w:rsidRDefault="00000000" w:rsidRPr="00000000" w14:paraId="0000002F">
            <w:pPr>
              <w:widowControl w:val="0"/>
              <w:spacing w:after="0" w:line="360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Reward spectrum includes low-risk alternatives (team gifts, learning access, consulting hours) with documented rules.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tcMar>
              <w:top w:w="60.0" w:type="dxa"/>
              <w:left w:w="60.0" w:type="dxa"/>
              <w:bottom w:w="60.0" w:type="dxa"/>
              <w:right w:w="60.0" w:type="dxa"/>
            </w:tcMar>
            <w:vAlign w:val="top"/>
          </w:tcPr>
          <w:p w:rsidR="00000000" w:rsidDel="00000000" w:rsidP="00000000" w:rsidRDefault="00000000" w:rsidRPr="00000000" w14:paraId="00000030">
            <w:pPr>
              <w:widowControl w:val="0"/>
              <w:spacing w:after="0" w:line="360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Compliance is designed in by region/vertical; rewards emphasize strategic value and authenticity.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tcMar>
              <w:top w:w="60.0" w:type="dxa"/>
              <w:left w:w="60.0" w:type="dxa"/>
              <w:bottom w:w="60.0" w:type="dxa"/>
              <w:right w:w="60.0" w:type="dxa"/>
            </w:tcMar>
            <w:vAlign w:val="top"/>
          </w:tcPr>
          <w:p w:rsidR="00000000" w:rsidDel="00000000" w:rsidP="00000000" w:rsidRDefault="00000000" w:rsidRPr="00000000" w14:paraId="00000031">
            <w:pPr>
              <w:widowControl w:val="0"/>
              <w:spacing w:after="0" w:line="360" w:lineRule="auto"/>
              <w:rPr>
                <w:b w:val="1"/>
                <w:bCs w:val="1"/>
                <w:color w:val="000000"/>
              </w:rPr>
            </w:pPr>
            <w:r w:rsidDel="00000000" w:rsidR="00000000" w:rsidRPr="00000000">
              <w:rPr>
                <w:b w:val="1"/>
                <w:bCs w:val="1"/>
                <w:color w:val="000000"/>
                <w:rtl w:val="0"/>
              </w:rPr>
              <w:t xml:space="preserve">Measurement &amp; impact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tcMar>
              <w:top w:w="60.0" w:type="dxa"/>
              <w:left w:w="60.0" w:type="dxa"/>
              <w:bottom w:w="60.0" w:type="dxa"/>
              <w:right w:w="60.0" w:type="dxa"/>
            </w:tcMar>
            <w:vAlign w:val="top"/>
          </w:tcPr>
          <w:p w:rsidR="00000000" w:rsidDel="00000000" w:rsidP="00000000" w:rsidRDefault="00000000" w:rsidRPr="00000000" w14:paraId="00000032">
            <w:pPr>
              <w:widowControl w:val="0"/>
              <w:spacing w:after="0" w:line="360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Success is anecdotal or based on outputs only (e.g., number of case studies).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tcMar>
              <w:top w:w="60.0" w:type="dxa"/>
              <w:left w:w="60.0" w:type="dxa"/>
              <w:bottom w:w="60.0" w:type="dxa"/>
              <w:right w:w="60.0" w:type="dxa"/>
            </w:tcMar>
            <w:vAlign w:val="top"/>
          </w:tcPr>
          <w:p w:rsidR="00000000" w:rsidDel="00000000" w:rsidP="00000000" w:rsidRDefault="00000000" w:rsidRPr="00000000" w14:paraId="00000033">
            <w:pPr>
              <w:widowControl w:val="0"/>
              <w:spacing w:after="0" w:line="360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Output metrics are tracked; limited linkage to business outcomes.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tcMar>
              <w:top w:w="60.0" w:type="dxa"/>
              <w:left w:w="60.0" w:type="dxa"/>
              <w:bottom w:w="60.0" w:type="dxa"/>
              <w:right w:w="60.0" w:type="dxa"/>
            </w:tcMar>
            <w:vAlign w:val="top"/>
          </w:tcPr>
          <w:p w:rsidR="00000000" w:rsidDel="00000000" w:rsidP="00000000" w:rsidRDefault="00000000" w:rsidRPr="00000000" w14:paraId="00000034">
            <w:pPr>
              <w:widowControl w:val="0"/>
              <w:spacing w:after="0" w:line="360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Mix of output + impact metrics tied to priorities (retention, pipeline influence, days-to-value). SMART goals </w:t>
            </w:r>
            <w:r w:rsidDel="00000000" w:rsidR="00000000" w:rsidRPr="00000000">
              <w:rPr>
                <w:color w:val="000000"/>
                <w:rtl w:val="0"/>
              </w:rPr>
              <w:t xml:space="preserve">are </w:t>
            </w:r>
            <w:r w:rsidDel="00000000" w:rsidR="00000000" w:rsidRPr="00000000">
              <w:rPr>
                <w:color w:val="000000"/>
                <w:rtl w:val="0"/>
              </w:rPr>
              <w:t xml:space="preserve">set annually.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tcMar>
              <w:top w:w="60.0" w:type="dxa"/>
              <w:left w:w="60.0" w:type="dxa"/>
              <w:bottom w:w="60.0" w:type="dxa"/>
              <w:right w:w="60.0" w:type="dxa"/>
            </w:tcMar>
            <w:vAlign w:val="top"/>
          </w:tcPr>
          <w:p w:rsidR="00000000" w:rsidDel="00000000" w:rsidP="00000000" w:rsidRDefault="00000000" w:rsidRPr="00000000" w14:paraId="00000035">
            <w:pPr>
              <w:widowControl w:val="0"/>
              <w:spacing w:after="0" w:line="360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Measurement is automated and trusted; advocacy impact is visible in dashboards and informs investment decisions.</w:t>
            </w:r>
          </w:p>
        </w:tc>
      </w:tr>
    </w:tbl>
    <w:p w:rsidR="00000000" w:rsidDel="00000000" w:rsidP="00000000" w:rsidRDefault="00000000" w:rsidRPr="00000000" w14:paraId="00000036">
      <w:pPr>
        <w:spacing w:line="36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spacing w:after="160" w:line="360" w:lineRule="auto"/>
        <w:rPr>
          <w:b w:val="1"/>
          <w:bCs w:val="1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spacing w:after="160" w:line="360" w:lineRule="auto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Scorecard</w:t>
      </w:r>
    </w:p>
    <w:p w:rsidR="00000000" w:rsidDel="00000000" w:rsidP="00000000" w:rsidRDefault="00000000" w:rsidRPr="00000000" w14:paraId="00000039">
      <w:pPr>
        <w:spacing w:after="160" w:line="360" w:lineRule="auto"/>
        <w:rPr/>
      </w:pPr>
      <w:r w:rsidDel="00000000" w:rsidR="00000000" w:rsidRPr="00000000">
        <w:rPr>
          <w:rtl w:val="0"/>
        </w:rPr>
        <w:t xml:space="preserve">Use this to capture your current score, target score, and key actions for the next 12 m</w:t>
      </w:r>
      <w:r w:rsidDel="00000000" w:rsidR="00000000" w:rsidRPr="00000000">
        <w:rPr>
          <w:rtl w:val="0"/>
        </w:rPr>
        <w:t xml:space="preserve">onths.</w:t>
      </w:r>
    </w:p>
    <w:p w:rsidR="00000000" w:rsidDel="00000000" w:rsidP="00000000" w:rsidRDefault="00000000" w:rsidRPr="00000000" w14:paraId="0000003A">
      <w:pPr>
        <w:spacing w:after="160" w:line="360" w:lineRule="auto"/>
        <w:rPr/>
      </w:pPr>
      <w:r w:rsidDel="00000000" w:rsidR="00000000" w:rsidRPr="00000000">
        <w:rPr>
          <w:rtl w:val="0"/>
        </w:rPr>
      </w:r>
    </w:p>
    <w:tbl>
      <w:tblPr>
        <w:tblStyle w:val="Table2"/>
        <w:tblW w:w="1368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3420"/>
        <w:gridCol w:w="3420"/>
        <w:gridCol w:w="3420"/>
        <w:gridCol w:w="3420"/>
        <w:tblGridChange w:id="0">
          <w:tblGrid>
            <w:gridCol w:w="3420"/>
            <w:gridCol w:w="3420"/>
            <w:gridCol w:w="3420"/>
            <w:gridCol w:w="3420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shd w:fill="000000" w:val="clear"/>
            <w:tcMar>
              <w:top w:w="60.0" w:type="dxa"/>
              <w:left w:w="60.0" w:type="dxa"/>
              <w:bottom w:w="60.0" w:type="dxa"/>
              <w:right w:w="60.0" w:type="dxa"/>
            </w:tcMar>
            <w:vAlign w:val="center"/>
          </w:tcPr>
          <w:p w:rsidR="00000000" w:rsidDel="00000000" w:rsidP="00000000" w:rsidRDefault="00000000" w:rsidRPr="00000000" w14:paraId="0000003B">
            <w:pPr>
              <w:widowControl w:val="0"/>
              <w:spacing w:after="160" w:line="360" w:lineRule="auto"/>
              <w:rPr>
                <w:b w:val="1"/>
                <w:bCs w:val="1"/>
                <w:color w:val="ffffff"/>
              </w:rPr>
            </w:pPr>
            <w:r w:rsidDel="00000000" w:rsidR="00000000" w:rsidRPr="00000000">
              <w:rPr>
                <w:b w:val="1"/>
                <w:bCs w:val="1"/>
                <w:color w:val="ffffff"/>
                <w:rtl w:val="0"/>
              </w:rPr>
              <w:t xml:space="preserve">Dimension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shd w:fill="000000" w:val="clear"/>
            <w:tcMar>
              <w:top w:w="60.0" w:type="dxa"/>
              <w:left w:w="60.0" w:type="dxa"/>
              <w:bottom w:w="60.0" w:type="dxa"/>
              <w:right w:w="60.0" w:type="dxa"/>
            </w:tcMar>
            <w:vAlign w:val="center"/>
          </w:tcPr>
          <w:p w:rsidR="00000000" w:rsidDel="00000000" w:rsidP="00000000" w:rsidRDefault="00000000" w:rsidRPr="00000000" w14:paraId="0000003C">
            <w:pPr>
              <w:widowControl w:val="0"/>
              <w:spacing w:after="0" w:line="360" w:lineRule="auto"/>
              <w:rPr>
                <w:b w:val="1"/>
                <w:bCs w:val="1"/>
                <w:color w:val="ffffff"/>
              </w:rPr>
            </w:pPr>
            <w:r w:rsidDel="00000000" w:rsidR="00000000" w:rsidRPr="00000000">
              <w:rPr>
                <w:b w:val="1"/>
                <w:bCs w:val="1"/>
                <w:color w:val="ffffff"/>
                <w:rtl w:val="0"/>
              </w:rPr>
              <w:t xml:space="preserve">Current score (1–4)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shd w:fill="000000" w:val="clear"/>
            <w:tcMar>
              <w:top w:w="60.0" w:type="dxa"/>
              <w:left w:w="60.0" w:type="dxa"/>
              <w:bottom w:w="60.0" w:type="dxa"/>
              <w:right w:w="60.0" w:type="dxa"/>
            </w:tcMar>
            <w:vAlign w:val="center"/>
          </w:tcPr>
          <w:p w:rsidR="00000000" w:rsidDel="00000000" w:rsidP="00000000" w:rsidRDefault="00000000" w:rsidRPr="00000000" w14:paraId="0000003D">
            <w:pPr>
              <w:widowControl w:val="0"/>
              <w:spacing w:after="0" w:line="360" w:lineRule="auto"/>
              <w:rPr>
                <w:b w:val="1"/>
                <w:bCs w:val="1"/>
                <w:color w:val="ffffff"/>
              </w:rPr>
            </w:pPr>
            <w:r w:rsidDel="00000000" w:rsidR="00000000" w:rsidRPr="00000000">
              <w:rPr>
                <w:b w:val="1"/>
                <w:bCs w:val="1"/>
                <w:color w:val="ffffff"/>
                <w:rtl w:val="0"/>
              </w:rPr>
              <w:t xml:space="preserve">Target score (12 months)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shd w:fill="000000" w:val="clear"/>
            <w:tcMar>
              <w:top w:w="60.0" w:type="dxa"/>
              <w:left w:w="60.0" w:type="dxa"/>
              <w:bottom w:w="60.0" w:type="dxa"/>
              <w:right w:w="60.0" w:type="dxa"/>
            </w:tcMar>
            <w:vAlign w:val="center"/>
          </w:tcPr>
          <w:p w:rsidR="00000000" w:rsidDel="00000000" w:rsidP="00000000" w:rsidRDefault="00000000" w:rsidRPr="00000000" w14:paraId="0000003E">
            <w:pPr>
              <w:widowControl w:val="0"/>
              <w:spacing w:after="0" w:line="360" w:lineRule="auto"/>
              <w:rPr>
                <w:b w:val="1"/>
                <w:bCs w:val="1"/>
                <w:color w:val="ffffff"/>
              </w:rPr>
            </w:pPr>
            <w:r w:rsidDel="00000000" w:rsidR="00000000" w:rsidRPr="00000000">
              <w:rPr>
                <w:b w:val="1"/>
                <w:bCs w:val="1"/>
                <w:color w:val="ffffff"/>
                <w:rtl w:val="0"/>
              </w:rPr>
              <w:t xml:space="preserve">Notes / actions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tcMar>
              <w:top w:w="60.0" w:type="dxa"/>
              <w:left w:w="60.0" w:type="dxa"/>
              <w:bottom w:w="60.0" w:type="dxa"/>
              <w:right w:w="60.0" w:type="dxa"/>
            </w:tcMar>
            <w:vAlign w:val="top"/>
          </w:tcPr>
          <w:p w:rsidR="00000000" w:rsidDel="00000000" w:rsidP="00000000" w:rsidRDefault="00000000" w:rsidRPr="00000000" w14:paraId="0000003F">
            <w:pPr>
              <w:widowControl w:val="0"/>
              <w:spacing w:after="0" w:line="360" w:lineRule="auto"/>
              <w:rPr>
                <w:b w:val="1"/>
                <w:bCs w:val="1"/>
                <w:color w:val="000000"/>
              </w:rPr>
            </w:pPr>
            <w:r w:rsidDel="00000000" w:rsidR="00000000" w:rsidRPr="00000000">
              <w:rPr>
                <w:b w:val="1"/>
                <w:bCs w:val="1"/>
                <w:color w:val="000000"/>
                <w:rtl w:val="0"/>
              </w:rPr>
              <w:t xml:space="preserve">Strategy &amp; executive sponsorship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tcMar>
              <w:top w:w="60.0" w:type="dxa"/>
              <w:left w:w="60.0" w:type="dxa"/>
              <w:bottom w:w="60.0" w:type="dxa"/>
              <w:right w:w="60.0" w:type="dxa"/>
            </w:tcMar>
            <w:vAlign w:val="top"/>
          </w:tcPr>
          <w:p w:rsidR="00000000" w:rsidDel="00000000" w:rsidP="00000000" w:rsidRDefault="00000000" w:rsidRPr="00000000" w14:paraId="00000040">
            <w:pPr>
              <w:widowControl w:val="0"/>
              <w:spacing w:after="0" w:line="360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[2 ]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tcMar>
              <w:top w:w="60.0" w:type="dxa"/>
              <w:left w:w="60.0" w:type="dxa"/>
              <w:bottom w:w="60.0" w:type="dxa"/>
              <w:right w:w="60.0" w:type="dxa"/>
            </w:tcMar>
            <w:vAlign w:val="top"/>
          </w:tcPr>
          <w:p w:rsidR="00000000" w:rsidDel="00000000" w:rsidP="00000000" w:rsidRDefault="00000000" w:rsidRPr="00000000" w14:paraId="00000041">
            <w:pPr>
              <w:widowControl w:val="0"/>
              <w:spacing w:after="0" w:line="360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[3 ]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tcMar>
              <w:top w:w="60.0" w:type="dxa"/>
              <w:left w:w="60.0" w:type="dxa"/>
              <w:bottom w:w="60.0" w:type="dxa"/>
              <w:right w:w="60.0" w:type="dxa"/>
            </w:tcMar>
            <w:vAlign w:val="top"/>
          </w:tcPr>
          <w:p w:rsidR="00000000" w:rsidDel="00000000" w:rsidP="00000000" w:rsidRDefault="00000000" w:rsidRPr="00000000" w14:paraId="00000042">
            <w:pPr>
              <w:widowControl w:val="0"/>
              <w:spacing w:after="0" w:line="360" w:lineRule="auto"/>
              <w:rPr/>
            </w:pPr>
            <w:r w:rsidDel="00000000" w:rsidR="00000000" w:rsidRPr="00000000">
              <w:rPr>
                <w:rtl w:val="0"/>
              </w:rPr>
              <w:t xml:space="preserve">E.g. No executive sponsor specifically accountable for advocacy outcomes.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tcMar>
              <w:top w:w="60.0" w:type="dxa"/>
              <w:left w:w="60.0" w:type="dxa"/>
              <w:bottom w:w="60.0" w:type="dxa"/>
              <w:right w:w="60.0" w:type="dxa"/>
            </w:tcMar>
            <w:vAlign w:val="top"/>
          </w:tcPr>
          <w:p w:rsidR="00000000" w:rsidDel="00000000" w:rsidP="00000000" w:rsidRDefault="00000000" w:rsidRPr="00000000" w14:paraId="00000043">
            <w:pPr>
              <w:widowControl w:val="0"/>
              <w:spacing w:after="0" w:line="360" w:lineRule="auto"/>
              <w:rPr>
                <w:b w:val="1"/>
                <w:bCs w:val="1"/>
                <w:color w:val="000000"/>
              </w:rPr>
            </w:pPr>
            <w:r w:rsidDel="00000000" w:rsidR="00000000" w:rsidRPr="00000000">
              <w:rPr>
                <w:b w:val="1"/>
                <w:bCs w:val="1"/>
                <w:color w:val="000000"/>
                <w:rtl w:val="0"/>
              </w:rPr>
              <w:t xml:space="preserve">Advocate identification &amp; recruitment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tcMar>
              <w:top w:w="60.0" w:type="dxa"/>
              <w:left w:w="60.0" w:type="dxa"/>
              <w:bottom w:w="60.0" w:type="dxa"/>
              <w:right w:w="60.0" w:type="dxa"/>
            </w:tcMar>
            <w:vAlign w:val="top"/>
          </w:tcPr>
          <w:p w:rsidR="00000000" w:rsidDel="00000000" w:rsidP="00000000" w:rsidRDefault="00000000" w:rsidRPr="00000000" w14:paraId="00000044">
            <w:pPr>
              <w:widowControl w:val="0"/>
              <w:spacing w:after="0" w:line="360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[ ]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tcMar>
              <w:top w:w="60.0" w:type="dxa"/>
              <w:left w:w="60.0" w:type="dxa"/>
              <w:bottom w:w="60.0" w:type="dxa"/>
              <w:right w:w="60.0" w:type="dxa"/>
            </w:tcMar>
            <w:vAlign w:val="top"/>
          </w:tcPr>
          <w:p w:rsidR="00000000" w:rsidDel="00000000" w:rsidP="00000000" w:rsidRDefault="00000000" w:rsidRPr="00000000" w14:paraId="00000045">
            <w:pPr>
              <w:widowControl w:val="0"/>
              <w:spacing w:after="0" w:line="360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[ ]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tcMar>
              <w:top w:w="60.0" w:type="dxa"/>
              <w:left w:w="60.0" w:type="dxa"/>
              <w:bottom w:w="60.0" w:type="dxa"/>
              <w:right w:w="60.0" w:type="dxa"/>
            </w:tcMar>
            <w:vAlign w:val="top"/>
          </w:tcPr>
          <w:p w:rsidR="00000000" w:rsidDel="00000000" w:rsidP="00000000" w:rsidRDefault="00000000" w:rsidRPr="00000000" w14:paraId="00000046">
            <w:pPr>
              <w:widowControl w:val="0"/>
              <w:spacing w:after="0" w:line="36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tcMar>
              <w:top w:w="60.0" w:type="dxa"/>
              <w:left w:w="60.0" w:type="dxa"/>
              <w:bottom w:w="60.0" w:type="dxa"/>
              <w:right w:w="60.0" w:type="dxa"/>
            </w:tcMar>
            <w:vAlign w:val="top"/>
          </w:tcPr>
          <w:p w:rsidR="00000000" w:rsidDel="00000000" w:rsidP="00000000" w:rsidRDefault="00000000" w:rsidRPr="00000000" w14:paraId="00000047">
            <w:pPr>
              <w:widowControl w:val="0"/>
              <w:spacing w:after="0" w:line="360" w:lineRule="auto"/>
              <w:rPr>
                <w:b w:val="1"/>
                <w:bCs w:val="1"/>
                <w:color w:val="000000"/>
              </w:rPr>
            </w:pPr>
            <w:r w:rsidDel="00000000" w:rsidR="00000000" w:rsidRPr="00000000">
              <w:rPr>
                <w:b w:val="1"/>
                <w:bCs w:val="1"/>
                <w:color w:val="000000"/>
                <w:rtl w:val="0"/>
              </w:rPr>
              <w:t xml:space="preserve">Value exchange &amp; program design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tcMar>
              <w:top w:w="60.0" w:type="dxa"/>
              <w:left w:w="60.0" w:type="dxa"/>
              <w:bottom w:w="60.0" w:type="dxa"/>
              <w:right w:w="60.0" w:type="dxa"/>
            </w:tcMar>
            <w:vAlign w:val="top"/>
          </w:tcPr>
          <w:p w:rsidR="00000000" w:rsidDel="00000000" w:rsidP="00000000" w:rsidRDefault="00000000" w:rsidRPr="00000000" w14:paraId="00000048">
            <w:pPr>
              <w:widowControl w:val="0"/>
              <w:spacing w:after="0" w:line="360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[ ]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tcMar>
              <w:top w:w="60.0" w:type="dxa"/>
              <w:left w:w="60.0" w:type="dxa"/>
              <w:bottom w:w="60.0" w:type="dxa"/>
              <w:right w:w="60.0" w:type="dxa"/>
            </w:tcMar>
            <w:vAlign w:val="top"/>
          </w:tcPr>
          <w:p w:rsidR="00000000" w:rsidDel="00000000" w:rsidP="00000000" w:rsidRDefault="00000000" w:rsidRPr="00000000" w14:paraId="00000049">
            <w:pPr>
              <w:widowControl w:val="0"/>
              <w:spacing w:after="0" w:line="360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[ ]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tcMar>
              <w:top w:w="60.0" w:type="dxa"/>
              <w:left w:w="60.0" w:type="dxa"/>
              <w:bottom w:w="60.0" w:type="dxa"/>
              <w:right w:w="60.0" w:type="dxa"/>
            </w:tcMar>
            <w:vAlign w:val="top"/>
          </w:tcPr>
          <w:p w:rsidR="00000000" w:rsidDel="00000000" w:rsidP="00000000" w:rsidRDefault="00000000" w:rsidRPr="00000000" w14:paraId="0000004A">
            <w:pPr>
              <w:widowControl w:val="0"/>
              <w:spacing w:after="0" w:line="36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tcMar>
              <w:top w:w="60.0" w:type="dxa"/>
              <w:left w:w="60.0" w:type="dxa"/>
              <w:bottom w:w="60.0" w:type="dxa"/>
              <w:right w:w="60.0" w:type="dxa"/>
            </w:tcMar>
            <w:vAlign w:val="top"/>
          </w:tcPr>
          <w:p w:rsidR="00000000" w:rsidDel="00000000" w:rsidP="00000000" w:rsidRDefault="00000000" w:rsidRPr="00000000" w14:paraId="0000004B">
            <w:pPr>
              <w:widowControl w:val="0"/>
              <w:spacing w:after="0" w:line="360" w:lineRule="auto"/>
              <w:rPr>
                <w:b w:val="1"/>
                <w:bCs w:val="1"/>
                <w:color w:val="000000"/>
              </w:rPr>
            </w:pPr>
            <w:r w:rsidDel="00000000" w:rsidR="00000000" w:rsidRPr="00000000">
              <w:rPr>
                <w:b w:val="1"/>
                <w:bCs w:val="1"/>
                <w:color w:val="000000"/>
                <w:rtl w:val="0"/>
              </w:rPr>
              <w:t xml:space="preserve">Operations &amp; enablement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tcMar>
              <w:top w:w="60.0" w:type="dxa"/>
              <w:left w:w="60.0" w:type="dxa"/>
              <w:bottom w:w="60.0" w:type="dxa"/>
              <w:right w:w="60.0" w:type="dxa"/>
            </w:tcMar>
            <w:vAlign w:val="top"/>
          </w:tcPr>
          <w:p w:rsidR="00000000" w:rsidDel="00000000" w:rsidP="00000000" w:rsidRDefault="00000000" w:rsidRPr="00000000" w14:paraId="0000004C">
            <w:pPr>
              <w:widowControl w:val="0"/>
              <w:spacing w:after="0" w:line="360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[ ]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tcMar>
              <w:top w:w="60.0" w:type="dxa"/>
              <w:left w:w="60.0" w:type="dxa"/>
              <w:bottom w:w="60.0" w:type="dxa"/>
              <w:right w:w="60.0" w:type="dxa"/>
            </w:tcMar>
            <w:vAlign w:val="top"/>
          </w:tcPr>
          <w:p w:rsidR="00000000" w:rsidDel="00000000" w:rsidP="00000000" w:rsidRDefault="00000000" w:rsidRPr="00000000" w14:paraId="0000004D">
            <w:pPr>
              <w:widowControl w:val="0"/>
              <w:spacing w:after="0" w:line="360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[ ]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tcMar>
              <w:top w:w="60.0" w:type="dxa"/>
              <w:left w:w="60.0" w:type="dxa"/>
              <w:bottom w:w="60.0" w:type="dxa"/>
              <w:right w:w="60.0" w:type="dxa"/>
            </w:tcMar>
            <w:vAlign w:val="top"/>
          </w:tcPr>
          <w:p w:rsidR="00000000" w:rsidDel="00000000" w:rsidP="00000000" w:rsidRDefault="00000000" w:rsidRPr="00000000" w14:paraId="0000004E">
            <w:pPr>
              <w:widowControl w:val="0"/>
              <w:spacing w:after="0" w:line="36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tcMar>
              <w:top w:w="60.0" w:type="dxa"/>
              <w:left w:w="60.0" w:type="dxa"/>
              <w:bottom w:w="60.0" w:type="dxa"/>
              <w:right w:w="60.0" w:type="dxa"/>
            </w:tcMar>
            <w:vAlign w:val="top"/>
          </w:tcPr>
          <w:p w:rsidR="00000000" w:rsidDel="00000000" w:rsidP="00000000" w:rsidRDefault="00000000" w:rsidRPr="00000000" w14:paraId="0000004F">
            <w:pPr>
              <w:widowControl w:val="0"/>
              <w:spacing w:after="0" w:line="360" w:lineRule="auto"/>
              <w:rPr>
                <w:b w:val="1"/>
                <w:bCs w:val="1"/>
                <w:color w:val="000000"/>
              </w:rPr>
            </w:pPr>
            <w:r w:rsidDel="00000000" w:rsidR="00000000" w:rsidRPr="00000000">
              <w:rPr>
                <w:b w:val="1"/>
                <w:bCs w:val="1"/>
                <w:color w:val="000000"/>
                <w:rtl w:val="0"/>
              </w:rPr>
              <w:t xml:space="preserve">Channel &amp; access model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tcMar>
              <w:top w:w="60.0" w:type="dxa"/>
              <w:left w:w="60.0" w:type="dxa"/>
              <w:bottom w:w="60.0" w:type="dxa"/>
              <w:right w:w="60.0" w:type="dxa"/>
            </w:tcMar>
            <w:vAlign w:val="top"/>
          </w:tcPr>
          <w:p w:rsidR="00000000" w:rsidDel="00000000" w:rsidP="00000000" w:rsidRDefault="00000000" w:rsidRPr="00000000" w14:paraId="00000050">
            <w:pPr>
              <w:widowControl w:val="0"/>
              <w:spacing w:after="0" w:line="360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[ ]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tcMar>
              <w:top w:w="60.0" w:type="dxa"/>
              <w:left w:w="60.0" w:type="dxa"/>
              <w:bottom w:w="60.0" w:type="dxa"/>
              <w:right w:w="60.0" w:type="dxa"/>
            </w:tcMar>
            <w:vAlign w:val="top"/>
          </w:tcPr>
          <w:p w:rsidR="00000000" w:rsidDel="00000000" w:rsidP="00000000" w:rsidRDefault="00000000" w:rsidRPr="00000000" w14:paraId="00000051">
            <w:pPr>
              <w:widowControl w:val="0"/>
              <w:spacing w:after="0" w:line="360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[ ]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tcMar>
              <w:top w:w="60.0" w:type="dxa"/>
              <w:left w:w="60.0" w:type="dxa"/>
              <w:bottom w:w="60.0" w:type="dxa"/>
              <w:right w:w="60.0" w:type="dxa"/>
            </w:tcMar>
            <w:vAlign w:val="top"/>
          </w:tcPr>
          <w:p w:rsidR="00000000" w:rsidDel="00000000" w:rsidP="00000000" w:rsidRDefault="00000000" w:rsidRPr="00000000" w14:paraId="00000052">
            <w:pPr>
              <w:widowControl w:val="0"/>
              <w:spacing w:after="0" w:line="36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tcMar>
              <w:top w:w="60.0" w:type="dxa"/>
              <w:left w:w="60.0" w:type="dxa"/>
              <w:bottom w:w="60.0" w:type="dxa"/>
              <w:right w:w="60.0" w:type="dxa"/>
            </w:tcMar>
            <w:vAlign w:val="top"/>
          </w:tcPr>
          <w:p w:rsidR="00000000" w:rsidDel="00000000" w:rsidP="00000000" w:rsidRDefault="00000000" w:rsidRPr="00000000" w14:paraId="00000053">
            <w:pPr>
              <w:widowControl w:val="0"/>
              <w:spacing w:after="0" w:line="360" w:lineRule="auto"/>
              <w:rPr>
                <w:b w:val="1"/>
                <w:bCs w:val="1"/>
                <w:color w:val="000000"/>
              </w:rPr>
            </w:pPr>
            <w:r w:rsidDel="00000000" w:rsidR="00000000" w:rsidRPr="00000000">
              <w:rPr>
                <w:b w:val="1"/>
                <w:bCs w:val="1"/>
                <w:color w:val="000000"/>
                <w:rtl w:val="0"/>
              </w:rPr>
              <w:t xml:space="preserve">Rewards &amp; compliance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tcMar>
              <w:top w:w="60.0" w:type="dxa"/>
              <w:left w:w="60.0" w:type="dxa"/>
              <w:bottom w:w="60.0" w:type="dxa"/>
              <w:right w:w="60.0" w:type="dxa"/>
            </w:tcMar>
            <w:vAlign w:val="top"/>
          </w:tcPr>
          <w:p w:rsidR="00000000" w:rsidDel="00000000" w:rsidP="00000000" w:rsidRDefault="00000000" w:rsidRPr="00000000" w14:paraId="00000054">
            <w:pPr>
              <w:widowControl w:val="0"/>
              <w:spacing w:after="0" w:line="360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[ ]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tcMar>
              <w:top w:w="60.0" w:type="dxa"/>
              <w:left w:w="60.0" w:type="dxa"/>
              <w:bottom w:w="60.0" w:type="dxa"/>
              <w:right w:w="60.0" w:type="dxa"/>
            </w:tcMar>
            <w:vAlign w:val="top"/>
          </w:tcPr>
          <w:p w:rsidR="00000000" w:rsidDel="00000000" w:rsidP="00000000" w:rsidRDefault="00000000" w:rsidRPr="00000000" w14:paraId="00000055">
            <w:pPr>
              <w:widowControl w:val="0"/>
              <w:spacing w:after="0" w:line="360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[ ]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tcMar>
              <w:top w:w="60.0" w:type="dxa"/>
              <w:left w:w="60.0" w:type="dxa"/>
              <w:bottom w:w="60.0" w:type="dxa"/>
              <w:right w:w="60.0" w:type="dxa"/>
            </w:tcMar>
            <w:vAlign w:val="top"/>
          </w:tcPr>
          <w:p w:rsidR="00000000" w:rsidDel="00000000" w:rsidP="00000000" w:rsidRDefault="00000000" w:rsidRPr="00000000" w14:paraId="00000056">
            <w:pPr>
              <w:widowControl w:val="0"/>
              <w:spacing w:after="0" w:line="36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tcMar>
              <w:top w:w="60.0" w:type="dxa"/>
              <w:left w:w="60.0" w:type="dxa"/>
              <w:bottom w:w="60.0" w:type="dxa"/>
              <w:right w:w="60.0" w:type="dxa"/>
            </w:tcMar>
            <w:vAlign w:val="top"/>
          </w:tcPr>
          <w:p w:rsidR="00000000" w:rsidDel="00000000" w:rsidP="00000000" w:rsidRDefault="00000000" w:rsidRPr="00000000" w14:paraId="00000057">
            <w:pPr>
              <w:widowControl w:val="0"/>
              <w:spacing w:after="0" w:line="360" w:lineRule="auto"/>
              <w:rPr>
                <w:b w:val="1"/>
                <w:bCs w:val="1"/>
                <w:color w:val="000000"/>
              </w:rPr>
            </w:pPr>
            <w:r w:rsidDel="00000000" w:rsidR="00000000" w:rsidRPr="00000000">
              <w:rPr>
                <w:b w:val="1"/>
                <w:bCs w:val="1"/>
                <w:color w:val="000000"/>
                <w:rtl w:val="0"/>
              </w:rPr>
              <w:t xml:space="preserve">Measurement &amp; impact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tcMar>
              <w:top w:w="60.0" w:type="dxa"/>
              <w:left w:w="60.0" w:type="dxa"/>
              <w:bottom w:w="60.0" w:type="dxa"/>
              <w:right w:w="60.0" w:type="dxa"/>
            </w:tcMar>
            <w:vAlign w:val="top"/>
          </w:tcPr>
          <w:p w:rsidR="00000000" w:rsidDel="00000000" w:rsidP="00000000" w:rsidRDefault="00000000" w:rsidRPr="00000000" w14:paraId="00000058">
            <w:pPr>
              <w:widowControl w:val="0"/>
              <w:spacing w:after="0" w:line="360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[ ]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tcMar>
              <w:top w:w="60.0" w:type="dxa"/>
              <w:left w:w="60.0" w:type="dxa"/>
              <w:bottom w:w="60.0" w:type="dxa"/>
              <w:right w:w="60.0" w:type="dxa"/>
            </w:tcMar>
            <w:vAlign w:val="top"/>
          </w:tcPr>
          <w:p w:rsidR="00000000" w:rsidDel="00000000" w:rsidP="00000000" w:rsidRDefault="00000000" w:rsidRPr="00000000" w14:paraId="00000059">
            <w:pPr>
              <w:widowControl w:val="0"/>
              <w:spacing w:after="0" w:line="360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[ ]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tcMar>
              <w:top w:w="60.0" w:type="dxa"/>
              <w:left w:w="60.0" w:type="dxa"/>
              <w:bottom w:w="60.0" w:type="dxa"/>
              <w:right w:w="60.0" w:type="dxa"/>
            </w:tcMar>
            <w:vAlign w:val="top"/>
          </w:tcPr>
          <w:p w:rsidR="00000000" w:rsidDel="00000000" w:rsidP="00000000" w:rsidRDefault="00000000" w:rsidRPr="00000000" w14:paraId="0000005A">
            <w:pPr>
              <w:widowControl w:val="0"/>
              <w:spacing w:after="0" w:line="36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5B">
      <w:pPr>
        <w:spacing w:after="160" w:line="360" w:lineRule="auto"/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C">
      <w:pPr>
        <w:spacing w:after="160" w:line="360" w:lineRule="auto"/>
        <w:rPr>
          <w:b w:val="1"/>
          <w:bCs w:val="1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D">
      <w:pPr>
        <w:spacing w:after="160" w:line="360" w:lineRule="auto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Scoring guidance</w:t>
      </w:r>
    </w:p>
    <w:p w:rsidR="00000000" w:rsidDel="00000000" w:rsidP="00000000" w:rsidRDefault="00000000" w:rsidRPr="00000000" w14:paraId="0000005E">
      <w:pPr>
        <w:spacing w:after="160" w:line="360" w:lineRule="auto"/>
        <w:rPr/>
      </w:pPr>
      <w:r w:rsidDel="00000000" w:rsidR="00000000" w:rsidRPr="00000000">
        <w:rPr>
          <w:rtl w:val="0"/>
        </w:rPr>
        <w:t xml:space="preserve">Add your scores across the seven dimensions. Use the ranges below to interpret your overall maturity.</w:t>
      </w:r>
    </w:p>
    <w:p w:rsidR="00000000" w:rsidDel="00000000" w:rsidP="00000000" w:rsidRDefault="00000000" w:rsidRPr="00000000" w14:paraId="0000005F">
      <w:pPr>
        <w:spacing w:after="160" w:line="360" w:lineRule="auto"/>
        <w:rPr/>
      </w:pPr>
      <w:r w:rsidDel="00000000" w:rsidR="00000000" w:rsidRPr="00000000">
        <w:rPr>
          <w:rtl w:val="0"/>
        </w:rPr>
      </w:r>
    </w:p>
    <w:tbl>
      <w:tblPr>
        <w:tblStyle w:val="Table3"/>
        <w:tblW w:w="1368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2430"/>
        <w:gridCol w:w="4185"/>
        <w:gridCol w:w="7065"/>
        <w:tblGridChange w:id="0">
          <w:tblGrid>
            <w:gridCol w:w="2430"/>
            <w:gridCol w:w="4185"/>
            <w:gridCol w:w="7065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shd w:fill="000000" w:val="clear"/>
            <w:tcMar>
              <w:top w:w="60.0" w:type="dxa"/>
              <w:left w:w="60.0" w:type="dxa"/>
              <w:bottom w:w="60.0" w:type="dxa"/>
              <w:right w:w="60.0" w:type="dxa"/>
            </w:tcMar>
            <w:vAlign w:val="top"/>
          </w:tcPr>
          <w:p w:rsidR="00000000" w:rsidDel="00000000" w:rsidP="00000000" w:rsidRDefault="00000000" w:rsidRPr="00000000" w14:paraId="00000060">
            <w:pPr>
              <w:widowControl w:val="0"/>
              <w:spacing w:after="160" w:line="360" w:lineRule="auto"/>
              <w:rPr>
                <w:b w:val="1"/>
                <w:bCs w:val="1"/>
                <w:color w:val="ffffff"/>
              </w:rPr>
            </w:pPr>
            <w:r w:rsidDel="00000000" w:rsidR="00000000" w:rsidRPr="00000000">
              <w:rPr>
                <w:b w:val="1"/>
                <w:bCs w:val="1"/>
                <w:color w:val="ffffff"/>
                <w:rtl w:val="0"/>
              </w:rPr>
              <w:t xml:space="preserve">Total score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shd w:fill="000000" w:val="clear"/>
            <w:tcMar>
              <w:top w:w="60.0" w:type="dxa"/>
              <w:left w:w="60.0" w:type="dxa"/>
              <w:bottom w:w="60.0" w:type="dxa"/>
              <w:right w:w="60.0" w:type="dxa"/>
            </w:tcMar>
            <w:vAlign w:val="top"/>
          </w:tcPr>
          <w:p w:rsidR="00000000" w:rsidDel="00000000" w:rsidP="00000000" w:rsidRDefault="00000000" w:rsidRPr="00000000" w14:paraId="00000061">
            <w:pPr>
              <w:widowControl w:val="0"/>
              <w:spacing w:after="0" w:line="360" w:lineRule="auto"/>
              <w:rPr>
                <w:b w:val="1"/>
                <w:bCs w:val="1"/>
                <w:color w:val="ffffff"/>
              </w:rPr>
            </w:pPr>
            <w:r w:rsidDel="00000000" w:rsidR="00000000" w:rsidRPr="00000000">
              <w:rPr>
                <w:b w:val="1"/>
                <w:bCs w:val="1"/>
                <w:color w:val="ffffff"/>
                <w:rtl w:val="0"/>
              </w:rPr>
              <w:t xml:space="preserve">Maturity level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shd w:fill="000000" w:val="clear"/>
            <w:tcMar>
              <w:top w:w="60.0" w:type="dxa"/>
              <w:left w:w="60.0" w:type="dxa"/>
              <w:bottom w:w="60.0" w:type="dxa"/>
              <w:right w:w="60.0" w:type="dxa"/>
            </w:tcMar>
            <w:vAlign w:val="top"/>
          </w:tcPr>
          <w:p w:rsidR="00000000" w:rsidDel="00000000" w:rsidP="00000000" w:rsidRDefault="00000000" w:rsidRPr="00000000" w14:paraId="00000062">
            <w:pPr>
              <w:widowControl w:val="0"/>
              <w:spacing w:after="0" w:line="360" w:lineRule="auto"/>
              <w:rPr>
                <w:b w:val="1"/>
                <w:bCs w:val="1"/>
                <w:color w:val="ffffff"/>
              </w:rPr>
            </w:pPr>
            <w:r w:rsidDel="00000000" w:rsidR="00000000" w:rsidRPr="00000000">
              <w:rPr>
                <w:b w:val="1"/>
                <w:bCs w:val="1"/>
                <w:color w:val="ffffff"/>
                <w:rtl w:val="0"/>
              </w:rPr>
              <w:t xml:space="preserve">What it usually means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tcMar>
              <w:top w:w="60.0" w:type="dxa"/>
              <w:left w:w="60.0" w:type="dxa"/>
              <w:bottom w:w="60.0" w:type="dxa"/>
              <w:right w:w="60.0" w:type="dxa"/>
            </w:tcMar>
            <w:vAlign w:val="top"/>
          </w:tcPr>
          <w:p w:rsidR="00000000" w:rsidDel="00000000" w:rsidP="00000000" w:rsidRDefault="00000000" w:rsidRPr="00000000" w14:paraId="00000063">
            <w:pPr>
              <w:widowControl w:val="0"/>
              <w:spacing w:after="0" w:line="360" w:lineRule="auto"/>
              <w:rPr>
                <w:b w:val="1"/>
                <w:bCs w:val="1"/>
                <w:color w:val="000000"/>
              </w:rPr>
            </w:pPr>
            <w:r w:rsidDel="00000000" w:rsidR="00000000" w:rsidRPr="00000000">
              <w:rPr>
                <w:b w:val="1"/>
                <w:bCs w:val="1"/>
                <w:color w:val="000000"/>
                <w:rtl w:val="0"/>
              </w:rPr>
              <w:t xml:space="preserve">7–12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tcMar>
              <w:top w:w="60.0" w:type="dxa"/>
              <w:left w:w="60.0" w:type="dxa"/>
              <w:bottom w:w="60.0" w:type="dxa"/>
              <w:right w:w="60.0" w:type="dxa"/>
            </w:tcMar>
            <w:vAlign w:val="top"/>
          </w:tcPr>
          <w:p w:rsidR="00000000" w:rsidDel="00000000" w:rsidP="00000000" w:rsidRDefault="00000000" w:rsidRPr="00000000" w14:paraId="00000064">
            <w:pPr>
              <w:widowControl w:val="0"/>
              <w:spacing w:after="0" w:line="360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Ad-hoc (high risk)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tcMar>
              <w:top w:w="60.0" w:type="dxa"/>
              <w:left w:w="60.0" w:type="dxa"/>
              <w:bottom w:w="60.0" w:type="dxa"/>
              <w:right w:w="60.0" w:type="dxa"/>
            </w:tcMar>
            <w:vAlign w:val="top"/>
          </w:tcPr>
          <w:p w:rsidR="00000000" w:rsidDel="00000000" w:rsidP="00000000" w:rsidRDefault="00000000" w:rsidRPr="00000000" w14:paraId="00000065">
            <w:pPr>
              <w:widowControl w:val="0"/>
              <w:spacing w:after="0" w:line="360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Advocacy is inconsistent and heavily dependent on individuals. Focus on basics: mission, intake, advocate list, and a minimum value exchange.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tcMar>
              <w:top w:w="60.0" w:type="dxa"/>
              <w:left w:w="60.0" w:type="dxa"/>
              <w:bottom w:w="60.0" w:type="dxa"/>
              <w:right w:w="60.0" w:type="dxa"/>
            </w:tcMar>
            <w:vAlign w:val="top"/>
          </w:tcPr>
          <w:p w:rsidR="00000000" w:rsidDel="00000000" w:rsidP="00000000" w:rsidRDefault="00000000" w:rsidRPr="00000000" w14:paraId="00000066">
            <w:pPr>
              <w:widowControl w:val="0"/>
              <w:spacing w:after="0" w:line="360" w:lineRule="auto"/>
              <w:rPr>
                <w:b w:val="1"/>
                <w:bCs w:val="1"/>
                <w:color w:val="000000"/>
              </w:rPr>
            </w:pPr>
            <w:r w:rsidDel="00000000" w:rsidR="00000000" w:rsidRPr="00000000">
              <w:rPr>
                <w:b w:val="1"/>
                <w:bCs w:val="1"/>
                <w:color w:val="000000"/>
                <w:rtl w:val="0"/>
              </w:rPr>
              <w:t xml:space="preserve">13–18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tcMar>
              <w:top w:w="60.0" w:type="dxa"/>
              <w:left w:w="60.0" w:type="dxa"/>
              <w:bottom w:w="60.0" w:type="dxa"/>
              <w:right w:w="60.0" w:type="dxa"/>
            </w:tcMar>
            <w:vAlign w:val="top"/>
          </w:tcPr>
          <w:p w:rsidR="00000000" w:rsidDel="00000000" w:rsidP="00000000" w:rsidRDefault="00000000" w:rsidRPr="00000000" w14:paraId="00000067">
            <w:pPr>
              <w:widowControl w:val="0"/>
              <w:spacing w:after="0" w:line="360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Defined (building foundations)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tcMar>
              <w:top w:w="60.0" w:type="dxa"/>
              <w:left w:w="60.0" w:type="dxa"/>
              <w:bottom w:w="60.0" w:type="dxa"/>
              <w:right w:w="60.0" w:type="dxa"/>
            </w:tcMar>
            <w:vAlign w:val="top"/>
          </w:tcPr>
          <w:p w:rsidR="00000000" w:rsidDel="00000000" w:rsidP="00000000" w:rsidRDefault="00000000" w:rsidRPr="00000000" w14:paraId="00000068">
            <w:pPr>
              <w:widowControl w:val="0"/>
              <w:spacing w:after="0" w:line="360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You have repeatable motions, but coverage is uneven and hard to scale. Focus on segmentation, tiering, and a multi-channel recruitment engine.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tcMar>
              <w:top w:w="60.0" w:type="dxa"/>
              <w:left w:w="60.0" w:type="dxa"/>
              <w:bottom w:w="60.0" w:type="dxa"/>
              <w:right w:w="60.0" w:type="dxa"/>
            </w:tcMar>
            <w:vAlign w:val="top"/>
          </w:tcPr>
          <w:p w:rsidR="00000000" w:rsidDel="00000000" w:rsidP="00000000" w:rsidRDefault="00000000" w:rsidRPr="00000000" w14:paraId="00000069">
            <w:pPr>
              <w:widowControl w:val="0"/>
              <w:spacing w:after="0" w:line="360" w:lineRule="auto"/>
              <w:rPr>
                <w:b w:val="1"/>
                <w:bCs w:val="1"/>
                <w:color w:val="000000"/>
              </w:rPr>
            </w:pPr>
            <w:r w:rsidDel="00000000" w:rsidR="00000000" w:rsidRPr="00000000">
              <w:rPr>
                <w:b w:val="1"/>
                <w:bCs w:val="1"/>
                <w:color w:val="000000"/>
                <w:rtl w:val="0"/>
              </w:rPr>
              <w:t xml:space="preserve">19–24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tcMar>
              <w:top w:w="60.0" w:type="dxa"/>
              <w:left w:w="60.0" w:type="dxa"/>
              <w:bottom w:w="60.0" w:type="dxa"/>
              <w:right w:w="60.0" w:type="dxa"/>
            </w:tcMar>
            <w:vAlign w:val="top"/>
          </w:tcPr>
          <w:p w:rsidR="00000000" w:rsidDel="00000000" w:rsidP="00000000" w:rsidRDefault="00000000" w:rsidRPr="00000000" w14:paraId="0000006A">
            <w:pPr>
              <w:widowControl w:val="0"/>
              <w:spacing w:after="0" w:line="360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Managed (strong performer)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tcMar>
              <w:top w:w="60.0" w:type="dxa"/>
              <w:left w:w="60.0" w:type="dxa"/>
              <w:bottom w:w="60.0" w:type="dxa"/>
              <w:right w:w="60.0" w:type="dxa"/>
            </w:tcMar>
            <w:vAlign w:val="top"/>
          </w:tcPr>
          <w:p w:rsidR="00000000" w:rsidDel="00000000" w:rsidP="00000000" w:rsidRDefault="00000000" w:rsidRPr="00000000" w14:paraId="0000006B">
            <w:pPr>
              <w:widowControl w:val="0"/>
              <w:spacing w:after="0" w:line="360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Advocacy is producing reliable outputs and starting to show impact. Focus on reducing friction (enablement + automation) and linking to outcomes.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tcMar>
              <w:top w:w="60.0" w:type="dxa"/>
              <w:left w:w="60.0" w:type="dxa"/>
              <w:bottom w:w="60.0" w:type="dxa"/>
              <w:right w:w="60.0" w:type="dxa"/>
            </w:tcMar>
            <w:vAlign w:val="top"/>
          </w:tcPr>
          <w:p w:rsidR="00000000" w:rsidDel="00000000" w:rsidP="00000000" w:rsidRDefault="00000000" w:rsidRPr="00000000" w14:paraId="0000006C">
            <w:pPr>
              <w:widowControl w:val="0"/>
              <w:spacing w:after="0" w:line="360" w:lineRule="auto"/>
              <w:rPr>
                <w:b w:val="1"/>
                <w:bCs w:val="1"/>
                <w:color w:val="000000"/>
              </w:rPr>
            </w:pPr>
            <w:r w:rsidDel="00000000" w:rsidR="00000000" w:rsidRPr="00000000">
              <w:rPr>
                <w:b w:val="1"/>
                <w:bCs w:val="1"/>
                <w:color w:val="000000"/>
                <w:rtl w:val="0"/>
              </w:rPr>
              <w:t xml:space="preserve">25–28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tcMar>
              <w:top w:w="60.0" w:type="dxa"/>
              <w:left w:w="60.0" w:type="dxa"/>
              <w:bottom w:w="60.0" w:type="dxa"/>
              <w:right w:w="60.0" w:type="dxa"/>
            </w:tcMar>
            <w:vAlign w:val="top"/>
          </w:tcPr>
          <w:p w:rsidR="00000000" w:rsidDel="00000000" w:rsidP="00000000" w:rsidRDefault="00000000" w:rsidRPr="00000000" w14:paraId="0000006D">
            <w:pPr>
              <w:widowControl w:val="0"/>
              <w:spacing w:after="0" w:line="360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Embedded (market leader)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tcMar>
              <w:top w:w="60.0" w:type="dxa"/>
              <w:left w:w="60.0" w:type="dxa"/>
              <w:bottom w:w="60.0" w:type="dxa"/>
              <w:right w:w="60.0" w:type="dxa"/>
            </w:tcMar>
            <w:vAlign w:val="top"/>
          </w:tcPr>
          <w:p w:rsidR="00000000" w:rsidDel="00000000" w:rsidP="00000000" w:rsidRDefault="00000000" w:rsidRPr="00000000" w14:paraId="0000006E">
            <w:pPr>
              <w:widowControl w:val="0"/>
              <w:spacing w:after="0" w:line="360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Advocacy is a growth engine integrated into GTM and lifecycle. Focus on optimization, personalization, and expanding strategic co-creation.</w:t>
            </w:r>
          </w:p>
        </w:tc>
      </w:tr>
    </w:tbl>
    <w:p w:rsidR="00000000" w:rsidDel="00000000" w:rsidP="00000000" w:rsidRDefault="00000000" w:rsidRPr="00000000" w14:paraId="0000006F">
      <w:pPr>
        <w:spacing w:after="160" w:line="36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0">
      <w:pPr>
        <w:spacing w:after="160" w:line="360" w:lineRule="auto"/>
        <w:rPr>
          <w:b w:val="1"/>
          <w:bCs w:val="1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1">
      <w:pPr>
        <w:spacing w:after="160" w:line="360" w:lineRule="auto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12-month planning prompts</w:t>
      </w:r>
    </w:p>
    <w:p w:rsidR="00000000" w:rsidDel="00000000" w:rsidP="00000000" w:rsidRDefault="00000000" w:rsidRPr="00000000" w14:paraId="00000072">
      <w:pPr>
        <w:numPr>
          <w:ilvl w:val="0"/>
          <w:numId w:val="2"/>
        </w:numPr>
        <w:spacing w:after="0" w:afterAutospacing="0" w:before="240" w:line="360" w:lineRule="auto"/>
        <w:ind w:left="720" w:hanging="360"/>
        <w:rPr/>
      </w:pPr>
      <w:r w:rsidDel="00000000" w:rsidR="00000000" w:rsidRPr="00000000">
        <w:rPr>
          <w:rtl w:val="0"/>
        </w:rPr>
        <w:t xml:space="preserve">Which two dimensions, if improved, would most move the needle on your top business priority?</w:t>
      </w:r>
    </w:p>
    <w:p w:rsidR="00000000" w:rsidDel="00000000" w:rsidP="00000000" w:rsidRDefault="00000000" w:rsidRPr="00000000" w14:paraId="00000073">
      <w:pPr>
        <w:numPr>
          <w:ilvl w:val="0"/>
          <w:numId w:val="2"/>
        </w:numPr>
        <w:spacing w:after="0" w:afterAutospacing="0" w:before="0" w:beforeAutospacing="0" w:line="360" w:lineRule="auto"/>
        <w:ind w:left="720" w:hanging="360"/>
        <w:rPr/>
      </w:pPr>
      <w:r w:rsidDel="00000000" w:rsidR="00000000" w:rsidRPr="00000000">
        <w:rPr>
          <w:rtl w:val="0"/>
        </w:rPr>
        <w:t xml:space="preserve">What is the smallest change you can make in the next 30 days to reduce friction for advocates and internal teams?</w:t>
      </w:r>
    </w:p>
    <w:p w:rsidR="00000000" w:rsidDel="00000000" w:rsidP="00000000" w:rsidRDefault="00000000" w:rsidRPr="00000000" w14:paraId="00000074">
      <w:pPr>
        <w:numPr>
          <w:ilvl w:val="0"/>
          <w:numId w:val="2"/>
        </w:numPr>
        <w:spacing w:after="0" w:afterAutospacing="0" w:before="0" w:beforeAutospacing="0" w:line="360" w:lineRule="auto"/>
        <w:ind w:left="720" w:hanging="360"/>
        <w:rPr/>
      </w:pPr>
      <w:r w:rsidDel="00000000" w:rsidR="00000000" w:rsidRPr="00000000">
        <w:rPr>
          <w:rtl w:val="0"/>
        </w:rPr>
        <w:t xml:space="preserve">What can you stop doing that creates noise but not meaningful advocacy impact?</w:t>
      </w:r>
    </w:p>
    <w:p w:rsidR="00000000" w:rsidDel="00000000" w:rsidP="00000000" w:rsidRDefault="00000000" w:rsidRPr="00000000" w14:paraId="00000075">
      <w:pPr>
        <w:numPr>
          <w:ilvl w:val="0"/>
          <w:numId w:val="2"/>
        </w:numPr>
        <w:spacing w:after="400" w:before="0" w:beforeAutospacing="0" w:line="360" w:lineRule="auto"/>
        <w:ind w:left="720" w:hanging="360"/>
        <w:rPr/>
      </w:pPr>
      <w:r w:rsidDel="00000000" w:rsidR="00000000" w:rsidRPr="00000000">
        <w:rPr>
          <w:rtl w:val="0"/>
        </w:rPr>
        <w:t xml:space="preserve">How will you prove impact in a way leadership already trusts (retention, pipeline influence, days-to-value)?</w:t>
      </w:r>
    </w:p>
    <w:p w:rsidR="00000000" w:rsidDel="00000000" w:rsidP="00000000" w:rsidRDefault="00000000" w:rsidRPr="00000000" w14:paraId="00000076">
      <w:pPr>
        <w:spacing w:after="160" w:line="360" w:lineRule="auto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30-60-90 day action plan</w:t>
      </w:r>
    </w:p>
    <w:p w:rsidR="00000000" w:rsidDel="00000000" w:rsidP="00000000" w:rsidRDefault="00000000" w:rsidRPr="00000000" w14:paraId="00000077">
      <w:pPr>
        <w:spacing w:after="160" w:line="360" w:lineRule="auto"/>
        <w:rPr/>
      </w:pPr>
      <w:r w:rsidDel="00000000" w:rsidR="00000000" w:rsidRPr="00000000">
        <w:rPr>
          <w:rtl w:val="0"/>
        </w:rPr>
        <w:t xml:space="preserve">Use this to translate your scorecard into near-term execution.</w:t>
      </w:r>
    </w:p>
    <w:p w:rsidR="00000000" w:rsidDel="00000000" w:rsidP="00000000" w:rsidRDefault="00000000" w:rsidRPr="00000000" w14:paraId="00000078">
      <w:pPr>
        <w:spacing w:after="160" w:line="360" w:lineRule="auto"/>
        <w:rPr/>
      </w:pPr>
      <w:r w:rsidDel="00000000" w:rsidR="00000000" w:rsidRPr="00000000">
        <w:rPr>
          <w:rtl w:val="0"/>
        </w:rPr>
      </w:r>
    </w:p>
    <w:tbl>
      <w:tblPr>
        <w:tblStyle w:val="Table4"/>
        <w:tblW w:w="1368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2736"/>
        <w:gridCol w:w="2736"/>
        <w:gridCol w:w="2736"/>
        <w:gridCol w:w="2736"/>
        <w:gridCol w:w="2736"/>
        <w:tblGridChange w:id="0">
          <w:tblGrid>
            <w:gridCol w:w="2736"/>
            <w:gridCol w:w="2736"/>
            <w:gridCol w:w="2736"/>
            <w:gridCol w:w="2736"/>
            <w:gridCol w:w="2736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shd w:fill="000000" w:val="clear"/>
            <w:tcMar>
              <w:top w:w="60.0" w:type="dxa"/>
              <w:left w:w="60.0" w:type="dxa"/>
              <w:bottom w:w="60.0" w:type="dxa"/>
              <w:right w:w="60.0" w:type="dxa"/>
            </w:tcMar>
            <w:vAlign w:val="center"/>
          </w:tcPr>
          <w:p w:rsidR="00000000" w:rsidDel="00000000" w:rsidP="00000000" w:rsidRDefault="00000000" w:rsidRPr="00000000" w14:paraId="00000079">
            <w:pPr>
              <w:widowControl w:val="0"/>
              <w:spacing w:after="160" w:line="360" w:lineRule="auto"/>
              <w:rPr>
                <w:b w:val="1"/>
                <w:bCs w:val="1"/>
                <w:color w:val="ffffff"/>
              </w:rPr>
            </w:pPr>
            <w:r w:rsidDel="00000000" w:rsidR="00000000" w:rsidRPr="00000000">
              <w:rPr>
                <w:b w:val="1"/>
                <w:bCs w:val="1"/>
                <w:color w:val="ffffff"/>
                <w:rtl w:val="0"/>
              </w:rPr>
              <w:t xml:space="preserve">Timeframe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shd w:fill="000000" w:val="clear"/>
            <w:tcMar>
              <w:top w:w="60.0" w:type="dxa"/>
              <w:left w:w="60.0" w:type="dxa"/>
              <w:bottom w:w="60.0" w:type="dxa"/>
              <w:right w:w="60.0" w:type="dxa"/>
            </w:tcMar>
            <w:vAlign w:val="center"/>
          </w:tcPr>
          <w:p w:rsidR="00000000" w:rsidDel="00000000" w:rsidP="00000000" w:rsidRDefault="00000000" w:rsidRPr="00000000" w14:paraId="0000007A">
            <w:pPr>
              <w:widowControl w:val="0"/>
              <w:spacing w:after="0" w:line="360" w:lineRule="auto"/>
              <w:rPr>
                <w:b w:val="1"/>
                <w:bCs w:val="1"/>
                <w:color w:val="ffffff"/>
              </w:rPr>
            </w:pPr>
            <w:r w:rsidDel="00000000" w:rsidR="00000000" w:rsidRPr="00000000">
              <w:rPr>
                <w:b w:val="1"/>
                <w:bCs w:val="1"/>
                <w:color w:val="ffffff"/>
                <w:rtl w:val="0"/>
              </w:rPr>
              <w:t xml:space="preserve">Focus area(s)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shd w:fill="000000" w:val="clear"/>
            <w:tcMar>
              <w:top w:w="60.0" w:type="dxa"/>
              <w:left w:w="60.0" w:type="dxa"/>
              <w:bottom w:w="60.0" w:type="dxa"/>
              <w:right w:w="60.0" w:type="dxa"/>
            </w:tcMar>
            <w:vAlign w:val="center"/>
          </w:tcPr>
          <w:p w:rsidR="00000000" w:rsidDel="00000000" w:rsidP="00000000" w:rsidRDefault="00000000" w:rsidRPr="00000000" w14:paraId="0000007B">
            <w:pPr>
              <w:widowControl w:val="0"/>
              <w:spacing w:after="0" w:line="360" w:lineRule="auto"/>
              <w:rPr>
                <w:b w:val="1"/>
                <w:bCs w:val="1"/>
                <w:color w:val="ffffff"/>
              </w:rPr>
            </w:pPr>
            <w:r w:rsidDel="00000000" w:rsidR="00000000" w:rsidRPr="00000000">
              <w:rPr>
                <w:b w:val="1"/>
                <w:bCs w:val="1"/>
                <w:color w:val="ffffff"/>
                <w:rtl w:val="0"/>
              </w:rPr>
              <w:t xml:space="preserve">Key actions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shd w:fill="000000" w:val="clear"/>
            <w:tcMar>
              <w:top w:w="60.0" w:type="dxa"/>
              <w:left w:w="60.0" w:type="dxa"/>
              <w:bottom w:w="60.0" w:type="dxa"/>
              <w:right w:w="60.0" w:type="dxa"/>
            </w:tcMar>
            <w:vAlign w:val="center"/>
          </w:tcPr>
          <w:p w:rsidR="00000000" w:rsidDel="00000000" w:rsidP="00000000" w:rsidRDefault="00000000" w:rsidRPr="00000000" w14:paraId="0000007C">
            <w:pPr>
              <w:widowControl w:val="0"/>
              <w:spacing w:after="0" w:line="360" w:lineRule="auto"/>
              <w:rPr>
                <w:b w:val="1"/>
                <w:bCs w:val="1"/>
                <w:color w:val="ffffff"/>
              </w:rPr>
            </w:pPr>
            <w:r w:rsidDel="00000000" w:rsidR="00000000" w:rsidRPr="00000000">
              <w:rPr>
                <w:b w:val="1"/>
                <w:bCs w:val="1"/>
                <w:color w:val="ffffff"/>
                <w:rtl w:val="0"/>
              </w:rPr>
              <w:t xml:space="preserve">Owner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shd w:fill="000000" w:val="clear"/>
            <w:tcMar>
              <w:top w:w="60.0" w:type="dxa"/>
              <w:left w:w="60.0" w:type="dxa"/>
              <w:bottom w:w="60.0" w:type="dxa"/>
              <w:right w:w="60.0" w:type="dxa"/>
            </w:tcMar>
            <w:vAlign w:val="center"/>
          </w:tcPr>
          <w:p w:rsidR="00000000" w:rsidDel="00000000" w:rsidP="00000000" w:rsidRDefault="00000000" w:rsidRPr="00000000" w14:paraId="0000007D">
            <w:pPr>
              <w:widowControl w:val="0"/>
              <w:spacing w:after="0" w:line="360" w:lineRule="auto"/>
              <w:rPr>
                <w:b w:val="1"/>
                <w:bCs w:val="1"/>
                <w:color w:val="ffffff"/>
              </w:rPr>
            </w:pPr>
            <w:r w:rsidDel="00000000" w:rsidR="00000000" w:rsidRPr="00000000">
              <w:rPr>
                <w:b w:val="1"/>
                <w:bCs w:val="1"/>
                <w:color w:val="ffffff"/>
                <w:rtl w:val="0"/>
              </w:rPr>
              <w:t xml:space="preserve">Success metric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tcMar>
              <w:top w:w="60.0" w:type="dxa"/>
              <w:left w:w="60.0" w:type="dxa"/>
              <w:bottom w:w="60.0" w:type="dxa"/>
              <w:right w:w="60.0" w:type="dxa"/>
            </w:tcMar>
            <w:vAlign w:val="top"/>
          </w:tcPr>
          <w:p w:rsidR="00000000" w:rsidDel="00000000" w:rsidP="00000000" w:rsidRDefault="00000000" w:rsidRPr="00000000" w14:paraId="0000007E">
            <w:pPr>
              <w:widowControl w:val="0"/>
              <w:spacing w:after="0" w:line="360" w:lineRule="auto"/>
              <w:rPr>
                <w:b w:val="1"/>
                <w:bCs w:val="1"/>
                <w:color w:val="000000"/>
              </w:rPr>
            </w:pPr>
            <w:r w:rsidDel="00000000" w:rsidR="00000000" w:rsidRPr="00000000">
              <w:rPr>
                <w:b w:val="1"/>
                <w:bCs w:val="1"/>
                <w:color w:val="000000"/>
                <w:rtl w:val="0"/>
              </w:rPr>
              <w:t xml:space="preserve">Days 1–30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tcMar>
              <w:top w:w="60.0" w:type="dxa"/>
              <w:left w:w="60.0" w:type="dxa"/>
              <w:bottom w:w="60.0" w:type="dxa"/>
              <w:right w:w="60.0" w:type="dxa"/>
            </w:tcMar>
            <w:vAlign w:val="top"/>
          </w:tcPr>
          <w:p w:rsidR="00000000" w:rsidDel="00000000" w:rsidP="00000000" w:rsidRDefault="00000000" w:rsidRPr="00000000" w14:paraId="0000007F">
            <w:pPr>
              <w:widowControl w:val="0"/>
              <w:spacing w:after="0" w:line="36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tcMar>
              <w:top w:w="60.0" w:type="dxa"/>
              <w:left w:w="60.0" w:type="dxa"/>
              <w:bottom w:w="60.0" w:type="dxa"/>
              <w:right w:w="60.0" w:type="dxa"/>
            </w:tcMar>
            <w:vAlign w:val="top"/>
          </w:tcPr>
          <w:p w:rsidR="00000000" w:rsidDel="00000000" w:rsidP="00000000" w:rsidRDefault="00000000" w:rsidRPr="00000000" w14:paraId="00000080">
            <w:pPr>
              <w:widowControl w:val="0"/>
              <w:spacing w:after="0" w:line="36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tcMar>
              <w:top w:w="60.0" w:type="dxa"/>
              <w:left w:w="60.0" w:type="dxa"/>
              <w:bottom w:w="60.0" w:type="dxa"/>
              <w:right w:w="60.0" w:type="dxa"/>
            </w:tcMar>
            <w:vAlign w:val="top"/>
          </w:tcPr>
          <w:p w:rsidR="00000000" w:rsidDel="00000000" w:rsidP="00000000" w:rsidRDefault="00000000" w:rsidRPr="00000000" w14:paraId="00000081">
            <w:pPr>
              <w:widowControl w:val="0"/>
              <w:spacing w:after="0" w:line="36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tcMar>
              <w:top w:w="60.0" w:type="dxa"/>
              <w:left w:w="60.0" w:type="dxa"/>
              <w:bottom w:w="60.0" w:type="dxa"/>
              <w:right w:w="60.0" w:type="dxa"/>
            </w:tcMar>
            <w:vAlign w:val="top"/>
          </w:tcPr>
          <w:p w:rsidR="00000000" w:rsidDel="00000000" w:rsidP="00000000" w:rsidRDefault="00000000" w:rsidRPr="00000000" w14:paraId="00000082">
            <w:pPr>
              <w:widowControl w:val="0"/>
              <w:spacing w:after="0" w:line="36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tcMar>
              <w:top w:w="60.0" w:type="dxa"/>
              <w:left w:w="60.0" w:type="dxa"/>
              <w:bottom w:w="60.0" w:type="dxa"/>
              <w:right w:w="60.0" w:type="dxa"/>
            </w:tcMar>
            <w:vAlign w:val="top"/>
          </w:tcPr>
          <w:p w:rsidR="00000000" w:rsidDel="00000000" w:rsidP="00000000" w:rsidRDefault="00000000" w:rsidRPr="00000000" w14:paraId="00000083">
            <w:pPr>
              <w:widowControl w:val="0"/>
              <w:spacing w:after="0" w:line="360" w:lineRule="auto"/>
              <w:rPr>
                <w:b w:val="1"/>
                <w:bCs w:val="1"/>
                <w:color w:val="000000"/>
              </w:rPr>
            </w:pPr>
            <w:r w:rsidDel="00000000" w:rsidR="00000000" w:rsidRPr="00000000">
              <w:rPr>
                <w:b w:val="1"/>
                <w:bCs w:val="1"/>
                <w:color w:val="000000"/>
                <w:rtl w:val="0"/>
              </w:rPr>
              <w:t xml:space="preserve">Days 31–60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tcMar>
              <w:top w:w="60.0" w:type="dxa"/>
              <w:left w:w="60.0" w:type="dxa"/>
              <w:bottom w:w="60.0" w:type="dxa"/>
              <w:right w:w="60.0" w:type="dxa"/>
            </w:tcMar>
            <w:vAlign w:val="top"/>
          </w:tcPr>
          <w:p w:rsidR="00000000" w:rsidDel="00000000" w:rsidP="00000000" w:rsidRDefault="00000000" w:rsidRPr="00000000" w14:paraId="00000084">
            <w:pPr>
              <w:widowControl w:val="0"/>
              <w:spacing w:after="0" w:line="36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tcMar>
              <w:top w:w="60.0" w:type="dxa"/>
              <w:left w:w="60.0" w:type="dxa"/>
              <w:bottom w:w="60.0" w:type="dxa"/>
              <w:right w:w="60.0" w:type="dxa"/>
            </w:tcMar>
            <w:vAlign w:val="top"/>
          </w:tcPr>
          <w:p w:rsidR="00000000" w:rsidDel="00000000" w:rsidP="00000000" w:rsidRDefault="00000000" w:rsidRPr="00000000" w14:paraId="00000085">
            <w:pPr>
              <w:widowControl w:val="0"/>
              <w:spacing w:after="0" w:line="36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tcMar>
              <w:top w:w="60.0" w:type="dxa"/>
              <w:left w:w="60.0" w:type="dxa"/>
              <w:bottom w:w="60.0" w:type="dxa"/>
              <w:right w:w="60.0" w:type="dxa"/>
            </w:tcMar>
            <w:vAlign w:val="top"/>
          </w:tcPr>
          <w:p w:rsidR="00000000" w:rsidDel="00000000" w:rsidP="00000000" w:rsidRDefault="00000000" w:rsidRPr="00000000" w14:paraId="00000086">
            <w:pPr>
              <w:widowControl w:val="0"/>
              <w:spacing w:after="0" w:line="36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tcMar>
              <w:top w:w="60.0" w:type="dxa"/>
              <w:left w:w="60.0" w:type="dxa"/>
              <w:bottom w:w="60.0" w:type="dxa"/>
              <w:right w:w="60.0" w:type="dxa"/>
            </w:tcMar>
            <w:vAlign w:val="top"/>
          </w:tcPr>
          <w:p w:rsidR="00000000" w:rsidDel="00000000" w:rsidP="00000000" w:rsidRDefault="00000000" w:rsidRPr="00000000" w14:paraId="00000087">
            <w:pPr>
              <w:widowControl w:val="0"/>
              <w:spacing w:after="0" w:line="36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tcMar>
              <w:top w:w="60.0" w:type="dxa"/>
              <w:left w:w="60.0" w:type="dxa"/>
              <w:bottom w:w="60.0" w:type="dxa"/>
              <w:right w:w="60.0" w:type="dxa"/>
            </w:tcMar>
            <w:vAlign w:val="top"/>
          </w:tcPr>
          <w:p w:rsidR="00000000" w:rsidDel="00000000" w:rsidP="00000000" w:rsidRDefault="00000000" w:rsidRPr="00000000" w14:paraId="00000088">
            <w:pPr>
              <w:widowControl w:val="0"/>
              <w:spacing w:after="0" w:line="360" w:lineRule="auto"/>
              <w:rPr>
                <w:b w:val="1"/>
                <w:bCs w:val="1"/>
                <w:color w:val="000000"/>
              </w:rPr>
            </w:pPr>
            <w:r w:rsidDel="00000000" w:rsidR="00000000" w:rsidRPr="00000000">
              <w:rPr>
                <w:b w:val="1"/>
                <w:bCs w:val="1"/>
                <w:color w:val="000000"/>
                <w:rtl w:val="0"/>
              </w:rPr>
              <w:t xml:space="preserve">Days 61–90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tcMar>
              <w:top w:w="60.0" w:type="dxa"/>
              <w:left w:w="60.0" w:type="dxa"/>
              <w:bottom w:w="60.0" w:type="dxa"/>
              <w:right w:w="60.0" w:type="dxa"/>
            </w:tcMar>
            <w:vAlign w:val="top"/>
          </w:tcPr>
          <w:p w:rsidR="00000000" w:rsidDel="00000000" w:rsidP="00000000" w:rsidRDefault="00000000" w:rsidRPr="00000000" w14:paraId="00000089">
            <w:pPr>
              <w:widowControl w:val="0"/>
              <w:spacing w:after="0" w:line="36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tcMar>
              <w:top w:w="60.0" w:type="dxa"/>
              <w:left w:w="60.0" w:type="dxa"/>
              <w:bottom w:w="60.0" w:type="dxa"/>
              <w:right w:w="60.0" w:type="dxa"/>
            </w:tcMar>
            <w:vAlign w:val="top"/>
          </w:tcPr>
          <w:p w:rsidR="00000000" w:rsidDel="00000000" w:rsidP="00000000" w:rsidRDefault="00000000" w:rsidRPr="00000000" w14:paraId="0000008A">
            <w:pPr>
              <w:widowControl w:val="0"/>
              <w:spacing w:after="0" w:line="36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tcMar>
              <w:top w:w="60.0" w:type="dxa"/>
              <w:left w:w="60.0" w:type="dxa"/>
              <w:bottom w:w="60.0" w:type="dxa"/>
              <w:right w:w="60.0" w:type="dxa"/>
            </w:tcMar>
            <w:vAlign w:val="top"/>
          </w:tcPr>
          <w:p w:rsidR="00000000" w:rsidDel="00000000" w:rsidP="00000000" w:rsidRDefault="00000000" w:rsidRPr="00000000" w14:paraId="0000008B">
            <w:pPr>
              <w:widowControl w:val="0"/>
              <w:spacing w:after="0" w:line="36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tcMar>
              <w:top w:w="60.0" w:type="dxa"/>
              <w:left w:w="60.0" w:type="dxa"/>
              <w:bottom w:w="60.0" w:type="dxa"/>
              <w:right w:w="60.0" w:type="dxa"/>
            </w:tcMar>
            <w:vAlign w:val="top"/>
          </w:tcPr>
          <w:p w:rsidR="00000000" w:rsidDel="00000000" w:rsidP="00000000" w:rsidRDefault="00000000" w:rsidRPr="00000000" w14:paraId="0000008C">
            <w:pPr>
              <w:widowControl w:val="0"/>
              <w:spacing w:after="0" w:line="36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8D">
      <w:pPr>
        <w:spacing w:line="360" w:lineRule="auto"/>
        <w:rPr/>
      </w:pPr>
      <w:r w:rsidDel="00000000" w:rsidR="00000000" w:rsidRPr="00000000">
        <w:rPr>
          <w:rtl w:val="0"/>
        </w:rPr>
      </w:r>
    </w:p>
    <w:sectPr>
      <w:headerReference r:id="rId6" w:type="default"/>
      <w:headerReference r:id="rId7" w:type="first"/>
      <w:footerReference r:id="rId8" w:type="default"/>
      <w:footerReference r:id="rId9" w:type="first"/>
      <w:pgSz w:h="12240" w:w="15840" w:orient="landscape"/>
      <w:pgMar w:bottom="1620" w:top="1890" w:left="1080" w:right="1080" w:header="288" w:footer="576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Poppins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Spectral">
    <w:embedRegular w:fontKey="{00000000-0000-0000-0000-000000000000}" r:id="rId5" w:subsetted="0"/>
    <w:embedBold w:fontKey="{00000000-0000-0000-0000-000000000000}" r:id="rId6" w:subsetted="0"/>
    <w:embedItalic w:fontKey="{00000000-0000-0000-0000-000000000000}" r:id="rId7" w:subsetted="0"/>
    <w:embedBoldItalic w:fontKey="{00000000-0000-0000-0000-000000000000}" r:id="rId8" w:subsetted="0"/>
  </w:font>
  <w:font w:name="Spectral Light">
    <w:embedRegular w:fontKey="{00000000-0000-0000-0000-000000000000}" r:id="rId9" w:subsetted="0"/>
    <w:embedBold w:fontKey="{00000000-0000-0000-0000-000000000000}" r:id="rId10" w:subsetted="0"/>
    <w:embedItalic w:fontKey="{00000000-0000-0000-0000-000000000000}" r:id="rId11" w:subsetted="0"/>
    <w:embedBoldItalic w:fontKey="{00000000-0000-0000-0000-000000000000}" r:id="rId12" w:subsetted="0"/>
  </w:font>
  <w:font w:name="Poppins SemiBold">
    <w:embedRegular w:fontKey="{00000000-0000-0000-0000-000000000000}" r:id="rId13" w:subsetted="0"/>
    <w:embedBold w:fontKey="{00000000-0000-0000-0000-000000000000}" r:id="rId14" w:subsetted="0"/>
    <w:embedItalic w:fontKey="{00000000-0000-0000-0000-000000000000}" r:id="rId15" w:subsetted="0"/>
    <w:embedBoldItalic w:fontKey="{00000000-0000-0000-0000-000000000000}" r:id="rId16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8E">
    <w:pPr>
      <w:pageBreakBefore w:val="0"/>
      <w:rPr>
        <w:rFonts w:ascii="Spectral" w:cs="Spectral" w:eastAsia="Spectral" w:hAnsi="Spectral"/>
        <w:i w:val="1"/>
        <w:iCs w:val="1"/>
        <w:color w:val="999999"/>
      </w:rPr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114300" distT="114300" distL="114300" distR="114300" hidden="0" layoutInCell="1" locked="0" relativeHeight="0" simplePos="0">
          <wp:simplePos x="0" y="0"/>
          <wp:positionH relativeFrom="column">
            <wp:posOffset>-695324</wp:posOffset>
          </wp:positionH>
          <wp:positionV relativeFrom="paragraph">
            <wp:posOffset>561975</wp:posOffset>
          </wp:positionV>
          <wp:extent cx="10067925" cy="258468"/>
          <wp:effectExtent b="0" l="0" r="0" t="0"/>
          <wp:wrapNone/>
          <wp:docPr id="3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77407" l="0" r="0" t="429"/>
                  <a:stretch>
                    <a:fillRect/>
                  </a:stretch>
                </pic:blipFill>
                <pic:spPr>
                  <a:xfrm>
                    <a:off x="0" y="0"/>
                    <a:ext cx="10067925" cy="258468"/>
                  </a:xfrm>
                  <a:prstGeom prst="rect"/>
                  <a:ln/>
                </pic:spPr>
              </pic:pic>
            </a:graphicData>
          </a:graphic>
        </wp:anchor>
      </w:drawing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90">
    <w:pPr>
      <w:pageBreakBefore w:val="0"/>
      <w:rPr/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8F">
    <w:pPr>
      <w:spacing w:after="200" w:before="240" w:line="240" w:lineRule="auto"/>
      <w:ind w:right="360"/>
      <w:jc w:val="right"/>
      <w:rPr>
        <w:color w:val="f9f8f5"/>
      </w:rPr>
    </w:pPr>
    <w:r w:rsidDel="00000000" w:rsidR="00000000" w:rsidRPr="00000000">
      <w:rPr/>
      <w:drawing>
        <wp:anchor allowOverlap="1" behindDoc="1" distB="114300" distT="114300" distL="114300" distR="114300" hidden="0" layoutInCell="1" locked="0" relativeHeight="0" simplePos="0">
          <wp:simplePos x="0" y="0"/>
          <wp:positionH relativeFrom="page">
            <wp:posOffset>-9524</wp:posOffset>
          </wp:positionH>
          <wp:positionV relativeFrom="page">
            <wp:posOffset>-9524</wp:posOffset>
          </wp:positionV>
          <wp:extent cx="7786688" cy="638076"/>
          <wp:effectExtent b="0" l="0" r="0" t="0"/>
          <wp:wrapNone/>
          <wp:docPr id="2" name="image3.png"/>
          <a:graphic>
            <a:graphicData uri="http://schemas.openxmlformats.org/drawingml/2006/picture">
              <pic:pic>
                <pic:nvPicPr>
                  <pic:cNvPr id="0" name="image3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7786688" cy="638076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rPr>
        <w:rtl w:val="0"/>
      </w:rPr>
      <w:t xml:space="preserve"> </w:t>
    </w:r>
    <w:r w:rsidDel="00000000" w:rsidR="00000000" w:rsidRPr="00000000">
      <w:rPr>
        <w:color w:val="f9f8f5"/>
        <w:rtl w:val="0"/>
      </w:rPr>
      <w:br w:type="textWrapping"/>
    </w:r>
    <w:r w:rsidDel="00000000" w:rsidR="00000000" w:rsidRPr="00000000">
      <w:rPr>
        <w:rFonts w:ascii="Spectral Light" w:cs="Spectral Light" w:eastAsia="Spectral Light" w:hAnsi="Spectral Light"/>
        <w:i w:val="1"/>
        <w:iCs w:val="1"/>
        <w:color w:val="f9f8f5"/>
        <w:sz w:val="28"/>
        <w:szCs w:val="28"/>
        <w:rtl w:val="0"/>
      </w:rPr>
      <w:t xml:space="preserve">Resource: </w:t>
    </w:r>
    <w:r w:rsidDel="00000000" w:rsidR="00000000" w:rsidRPr="00000000">
      <w:rPr>
        <w:rFonts w:ascii="Poppins" w:cs="Poppins" w:eastAsia="Poppins" w:hAnsi="Poppins"/>
        <w:color w:val="f9f8f5"/>
        <w:rtl w:val="0"/>
      </w:rPr>
      <w:t xml:space="preserve">Name of template</w:t>
    </w:r>
    <w:r w:rsidDel="00000000" w:rsidR="00000000" w:rsidRPr="00000000">
      <w:rPr>
        <w:color w:val="f9f8f5"/>
        <w:rtl w:val="0"/>
      </w:rPr>
      <w:t xml:space="preserve"> </w:t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91">
    <w:pPr>
      <w:pStyle w:val="Heading1"/>
      <w:spacing w:after="0" w:before="200" w:line="240" w:lineRule="auto"/>
      <w:ind w:right="360"/>
      <w:rPr/>
    </w:pPr>
    <w:bookmarkStart w:colFirst="0" w:colLast="0" w:name="_3zj7b473j7v6" w:id="1"/>
    <w:bookmarkEnd w:id="1"/>
    <w:r w:rsidDel="00000000" w:rsidR="00000000" w:rsidRPr="00000000">
      <w:rPr/>
      <w:drawing>
        <wp:anchor allowOverlap="1" behindDoc="1" distB="114300" distT="114300" distL="114300" distR="114300" hidden="0" layoutInCell="1" locked="0" relativeHeight="0" simplePos="0">
          <wp:simplePos x="0" y="0"/>
          <wp:positionH relativeFrom="page">
            <wp:posOffset>-9524</wp:posOffset>
          </wp:positionH>
          <wp:positionV relativeFrom="page">
            <wp:posOffset>1905</wp:posOffset>
          </wp:positionV>
          <wp:extent cx="10063163" cy="871699"/>
          <wp:effectExtent b="0" l="0" r="0" t="0"/>
          <wp:wrapNone/>
          <wp:docPr id="1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0063163" cy="871699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rPr>
        <w:rtl w:val="0"/>
      </w:rPr>
      <w:t xml:space="preserve">Advocacy program maturity model</w:t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Poppins" w:cs="Poppins" w:eastAsia="Poppins" w:hAnsi="Poppins"/>
        <w:color w:val="09100f"/>
        <w:sz w:val="22"/>
        <w:szCs w:val="22"/>
        <w:lang w:val="en"/>
      </w:rPr>
    </w:rPrDefault>
    <w:pPrDefault>
      <w:pPr>
        <w:spacing w:after="200" w:line="360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0" w:before="200" w:line="240" w:lineRule="auto"/>
      <w:ind w:right="360"/>
    </w:pPr>
    <w:rPr>
      <w:color w:val="f9f8f5"/>
    </w:rPr>
  </w:style>
  <w:style w:type="paragraph" w:styleId="Heading2">
    <w:name w:val="heading 2"/>
    <w:basedOn w:val="Normal"/>
    <w:next w:val="Normal"/>
    <w:pPr>
      <w:keepNext w:val="1"/>
      <w:keepLines w:val="1"/>
    </w:pPr>
    <w:rPr>
      <w:b w:val="1"/>
      <w:bCs w:val="1"/>
    </w:rPr>
  </w:style>
  <w:style w:type="paragraph" w:styleId="Heading3">
    <w:name w:val="heading 3"/>
    <w:basedOn w:val="Normal"/>
    <w:next w:val="Normal"/>
    <w:pPr>
      <w:keepNext w:val="1"/>
      <w:keepLines w:val="1"/>
      <w:ind w:left="720" w:firstLine="0"/>
    </w:pPr>
    <w:rPr>
      <w:rFonts w:ascii="Spectral Light" w:cs="Spectral Light" w:eastAsia="Spectral Light" w:hAnsi="Spectral Light"/>
      <w:i w:val="1"/>
      <w:iCs w:val="1"/>
      <w:sz w:val="26"/>
      <w:szCs w:val="26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0" w:line="276" w:lineRule="auto"/>
    </w:pPr>
    <w:rPr>
      <w:rFonts w:ascii="Poppins SemiBold" w:cs="Poppins SemiBold" w:eastAsia="Poppins SemiBold" w:hAnsi="Poppins SemiBold"/>
      <w:sz w:val="36"/>
      <w:szCs w:val="36"/>
    </w:rPr>
  </w:style>
  <w:style w:type="paragraph" w:styleId="Subtitle">
    <w:name w:val="Subtitle"/>
    <w:basedOn w:val="Normal"/>
    <w:next w:val="Normal"/>
    <w:pPr>
      <w:keepNext w:val="1"/>
      <w:keepLines w:val="1"/>
      <w:spacing w:after="200" w:line="360" w:lineRule="auto"/>
    </w:pPr>
    <w:rPr>
      <w:rFonts w:ascii="Poppins" w:cs="Poppins" w:eastAsia="Poppins" w:hAnsi="Poppins"/>
      <w:color w:val="6c706f"/>
      <w:sz w:val="28"/>
      <w:szCs w:val="28"/>
    </w:rPr>
  </w:style>
  <w:style w:type="table" w:styleId="Table1">
    <w:basedOn w:val="TableNormal"/>
    <w:tblPr>
      <w:tblStyleRowBandSize w:val="1"/>
      <w:tblStyleColBandSize w:val="1"/>
    </w:tblPr>
  </w:style>
  <w:style w:type="table" w:styleId="Table2">
    <w:basedOn w:val="TableNormal"/>
    <w:tblPr>
      <w:tblStyleRowBandSize w:val="1"/>
      <w:tblStyleColBandSize w:val="1"/>
    </w:tblPr>
  </w:style>
  <w:style w:type="table" w:styleId="Table3">
    <w:basedOn w:val="TableNormal"/>
    <w:tblPr>
      <w:tblStyleRowBandSize w:val="1"/>
      <w:tblStyleColBandSize w:val="1"/>
    </w:tblPr>
  </w:style>
  <w:style w:type="table" w:styleId="Table4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footer" Target="footer2.xml"/><Relationship Id="rId5" Type="http://schemas.openxmlformats.org/officeDocument/2006/relationships/styles" Target="styles.xml"/><Relationship Id="rId6" Type="http://schemas.openxmlformats.org/officeDocument/2006/relationships/header" Target="header2.xml"/><Relationship Id="rId7" Type="http://schemas.openxmlformats.org/officeDocument/2006/relationships/header" Target="header1.xml"/><Relationship Id="rId8" Type="http://schemas.openxmlformats.org/officeDocument/2006/relationships/footer" Target="footer1.xml"/></Relationships>
</file>

<file path=word/_rels/fontTable.xml.rels><?xml version="1.0" encoding="UTF-8" standalone="yes"?><Relationships xmlns="http://schemas.openxmlformats.org/package/2006/relationships"><Relationship Id="rId11" Type="http://schemas.openxmlformats.org/officeDocument/2006/relationships/font" Target="fonts/SpectralLight-italic.ttf"/><Relationship Id="rId10" Type="http://schemas.openxmlformats.org/officeDocument/2006/relationships/font" Target="fonts/SpectralLight-bold.ttf"/><Relationship Id="rId13" Type="http://schemas.openxmlformats.org/officeDocument/2006/relationships/font" Target="fonts/PoppinsSemiBold-regular.ttf"/><Relationship Id="rId12" Type="http://schemas.openxmlformats.org/officeDocument/2006/relationships/font" Target="fonts/SpectralLight-boldItalic.ttf"/><Relationship Id="rId1" Type="http://schemas.openxmlformats.org/officeDocument/2006/relationships/font" Target="fonts/Poppins-regular.ttf"/><Relationship Id="rId2" Type="http://schemas.openxmlformats.org/officeDocument/2006/relationships/font" Target="fonts/Poppins-bold.ttf"/><Relationship Id="rId3" Type="http://schemas.openxmlformats.org/officeDocument/2006/relationships/font" Target="fonts/Poppins-italic.ttf"/><Relationship Id="rId4" Type="http://schemas.openxmlformats.org/officeDocument/2006/relationships/font" Target="fonts/Poppins-boldItalic.ttf"/><Relationship Id="rId9" Type="http://schemas.openxmlformats.org/officeDocument/2006/relationships/font" Target="fonts/SpectralLight-regular.ttf"/><Relationship Id="rId15" Type="http://schemas.openxmlformats.org/officeDocument/2006/relationships/font" Target="fonts/PoppinsSemiBold-italic.ttf"/><Relationship Id="rId14" Type="http://schemas.openxmlformats.org/officeDocument/2006/relationships/font" Target="fonts/PoppinsSemiBold-bold.ttf"/><Relationship Id="rId16" Type="http://schemas.openxmlformats.org/officeDocument/2006/relationships/font" Target="fonts/PoppinsSemiBold-boldItalic.ttf"/><Relationship Id="rId5" Type="http://schemas.openxmlformats.org/officeDocument/2006/relationships/font" Target="fonts/Spectral-regular.ttf"/><Relationship Id="rId6" Type="http://schemas.openxmlformats.org/officeDocument/2006/relationships/font" Target="fonts/Spectral-bold.ttf"/><Relationship Id="rId7" Type="http://schemas.openxmlformats.org/officeDocument/2006/relationships/font" Target="fonts/Spectral-italic.ttf"/><Relationship Id="rId8" Type="http://schemas.openxmlformats.org/officeDocument/2006/relationships/font" Target="fonts/Spectral-boldItalic.ttf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3.png"/></Relationships>
</file>

<file path=word/_rels/header2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