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B4E40A" w14:textId="62304C8C" w:rsidR="008F61A0" w:rsidRDefault="008F61A0" w:rsidP="008F61A0">
      <w:pPr>
        <w:shd w:val="clear" w:color="auto" w:fill="FFFFFF"/>
        <w:rPr>
          <w:rFonts w:ascii="Arial" w:eastAsia="Times New Roman" w:hAnsi="Arial" w:cs="Arial"/>
          <w:b/>
          <w:bCs/>
          <w:color w:val="222222"/>
          <w:kern w:val="0"/>
          <w14:ligatures w14:val="none"/>
        </w:rPr>
      </w:pPr>
      <w:r>
        <w:rPr>
          <w:rFonts w:ascii="Arial" w:eastAsia="Times New Roman" w:hAnsi="Arial" w:cs="Arial"/>
          <w:b/>
          <w:bCs/>
          <w:color w:val="222222"/>
          <w:kern w:val="0"/>
          <w14:ligatures w14:val="none"/>
        </w:rPr>
        <w:t>Contact:</w:t>
      </w:r>
    </w:p>
    <w:p w14:paraId="7401E5E1" w14:textId="707677E5" w:rsidR="008F61A0" w:rsidRDefault="008F61A0" w:rsidP="008F61A0">
      <w:pPr>
        <w:shd w:val="clear" w:color="auto" w:fill="FFFFFF"/>
        <w:rPr>
          <w:rFonts w:ascii="Arial" w:eastAsia="Times New Roman" w:hAnsi="Arial" w:cs="Arial"/>
          <w:b/>
          <w:bCs/>
          <w:color w:val="222222"/>
          <w:kern w:val="0"/>
          <w14:ligatures w14:val="none"/>
        </w:rPr>
      </w:pPr>
      <w:r>
        <w:rPr>
          <w:rFonts w:ascii="Arial" w:eastAsia="Times New Roman" w:hAnsi="Arial" w:cs="Arial"/>
          <w:b/>
          <w:bCs/>
          <w:color w:val="222222"/>
          <w:kern w:val="0"/>
          <w14:ligatures w14:val="none"/>
        </w:rPr>
        <w:t>Matt Klink</w:t>
      </w:r>
    </w:p>
    <w:p w14:paraId="0DCC0975" w14:textId="299B8923" w:rsidR="008F61A0" w:rsidRDefault="008F61A0" w:rsidP="008F61A0">
      <w:pPr>
        <w:shd w:val="clear" w:color="auto" w:fill="FFFFFF"/>
        <w:rPr>
          <w:rFonts w:ascii="Arial" w:eastAsia="Times New Roman" w:hAnsi="Arial" w:cs="Arial"/>
          <w:b/>
          <w:bCs/>
          <w:color w:val="222222"/>
          <w:kern w:val="0"/>
          <w14:ligatures w14:val="none"/>
        </w:rPr>
      </w:pPr>
      <w:r>
        <w:rPr>
          <w:rFonts w:ascii="Arial" w:eastAsia="Times New Roman" w:hAnsi="Arial" w:cs="Arial"/>
          <w:b/>
          <w:bCs/>
          <w:color w:val="222222"/>
          <w:kern w:val="0"/>
          <w14:ligatures w14:val="none"/>
        </w:rPr>
        <w:t>(310) 283-6267</w:t>
      </w:r>
    </w:p>
    <w:p w14:paraId="522A3491" w14:textId="5F1044A3" w:rsidR="008F61A0" w:rsidRDefault="008F61A0" w:rsidP="008F61A0">
      <w:pPr>
        <w:shd w:val="clear" w:color="auto" w:fill="FFFFFF"/>
        <w:rPr>
          <w:rFonts w:ascii="Arial" w:eastAsia="Times New Roman" w:hAnsi="Arial" w:cs="Arial"/>
          <w:b/>
          <w:bCs/>
          <w:color w:val="222222"/>
          <w:kern w:val="0"/>
          <w14:ligatures w14:val="none"/>
        </w:rPr>
      </w:pPr>
      <w:hyperlink r:id="rId4" w:history="1">
        <w:r w:rsidRPr="00F41047">
          <w:rPr>
            <w:rStyle w:val="Hyperlink"/>
            <w:rFonts w:ascii="Arial" w:eastAsia="Times New Roman" w:hAnsi="Arial" w:cs="Arial"/>
            <w:b/>
            <w:bCs/>
            <w:kern w:val="0"/>
            <w14:ligatures w14:val="none"/>
          </w:rPr>
          <w:t>matt@klinkcampaigns.com</w:t>
        </w:r>
      </w:hyperlink>
    </w:p>
    <w:p w14:paraId="65D03F8E" w14:textId="77777777" w:rsidR="008F61A0" w:rsidRDefault="008F61A0" w:rsidP="008F61A0">
      <w:pPr>
        <w:shd w:val="clear" w:color="auto" w:fill="FFFFFF"/>
        <w:rPr>
          <w:rFonts w:ascii="Arial" w:eastAsia="Times New Roman" w:hAnsi="Arial" w:cs="Arial"/>
          <w:b/>
          <w:bCs/>
          <w:color w:val="222222"/>
          <w:kern w:val="0"/>
          <w14:ligatures w14:val="none"/>
        </w:rPr>
      </w:pPr>
    </w:p>
    <w:p w14:paraId="6BE9FA18" w14:textId="40AD1CEA" w:rsidR="008F61A0" w:rsidRDefault="008F61A0" w:rsidP="008F61A0">
      <w:pPr>
        <w:shd w:val="clear" w:color="auto" w:fill="FFFFFF"/>
        <w:rPr>
          <w:rFonts w:ascii="Arial" w:eastAsia="Times New Roman" w:hAnsi="Arial" w:cs="Arial"/>
          <w:b/>
          <w:bCs/>
          <w:color w:val="222222"/>
          <w:kern w:val="0"/>
          <w14:ligatures w14:val="none"/>
        </w:rPr>
      </w:pPr>
      <w:r>
        <w:rPr>
          <w:rFonts w:ascii="Arial" w:eastAsia="Times New Roman" w:hAnsi="Arial" w:cs="Arial"/>
          <w:b/>
          <w:bCs/>
          <w:color w:val="222222"/>
          <w:kern w:val="0"/>
          <w14:ligatures w14:val="none"/>
        </w:rPr>
        <w:t>Michael Bustamante</w:t>
      </w:r>
    </w:p>
    <w:p w14:paraId="65850AF9" w14:textId="0EDFE9B1" w:rsidR="008F61A0" w:rsidRDefault="008F61A0" w:rsidP="008F61A0">
      <w:pPr>
        <w:shd w:val="clear" w:color="auto" w:fill="FFFFFF"/>
        <w:rPr>
          <w:rFonts w:ascii="Arial" w:eastAsia="Times New Roman" w:hAnsi="Arial" w:cs="Arial"/>
          <w:b/>
          <w:bCs/>
          <w:color w:val="222222"/>
          <w:kern w:val="0"/>
          <w14:ligatures w14:val="none"/>
        </w:rPr>
      </w:pPr>
      <w:r>
        <w:rPr>
          <w:rFonts w:ascii="Arial" w:eastAsia="Times New Roman" w:hAnsi="Arial" w:cs="Arial"/>
          <w:b/>
          <w:bCs/>
          <w:color w:val="222222"/>
          <w:kern w:val="0"/>
          <w14:ligatures w14:val="none"/>
        </w:rPr>
        <w:t>(916) 425-0839</w:t>
      </w:r>
    </w:p>
    <w:p w14:paraId="1F3A63E4" w14:textId="5A4097D0" w:rsidR="008F61A0" w:rsidRDefault="008F61A0" w:rsidP="008F61A0">
      <w:pPr>
        <w:shd w:val="clear" w:color="auto" w:fill="FFFFFF"/>
        <w:rPr>
          <w:rFonts w:ascii="Arial" w:eastAsia="Times New Roman" w:hAnsi="Arial" w:cs="Arial"/>
          <w:b/>
          <w:bCs/>
          <w:color w:val="222222"/>
          <w:kern w:val="0"/>
          <w14:ligatures w14:val="none"/>
        </w:rPr>
      </w:pPr>
      <w:hyperlink r:id="rId5" w:history="1">
        <w:r w:rsidRPr="00F41047">
          <w:rPr>
            <w:rStyle w:val="Hyperlink"/>
            <w:rFonts w:ascii="Arial" w:eastAsia="Times New Roman" w:hAnsi="Arial" w:cs="Arial"/>
            <w:b/>
            <w:bCs/>
            <w:kern w:val="0"/>
            <w14:ligatures w14:val="none"/>
          </w:rPr>
          <w:t>michael@mjbstrategies.com</w:t>
        </w:r>
      </w:hyperlink>
    </w:p>
    <w:p w14:paraId="3EECADDA" w14:textId="77777777" w:rsidR="008F61A0" w:rsidRDefault="008F61A0" w:rsidP="008F61A0">
      <w:pPr>
        <w:shd w:val="clear" w:color="auto" w:fill="FFFFFF"/>
        <w:rPr>
          <w:rFonts w:ascii="Arial" w:eastAsia="Times New Roman" w:hAnsi="Arial" w:cs="Arial"/>
          <w:b/>
          <w:bCs/>
          <w:color w:val="222222"/>
          <w:kern w:val="0"/>
          <w14:ligatures w14:val="none"/>
        </w:rPr>
      </w:pPr>
    </w:p>
    <w:p w14:paraId="26588722" w14:textId="46577F21" w:rsidR="008F61A0" w:rsidRPr="008F61A0" w:rsidRDefault="008F61A0" w:rsidP="008F61A0">
      <w:pPr>
        <w:shd w:val="clear" w:color="auto" w:fill="FFFFFF"/>
        <w:jc w:val="center"/>
        <w:rPr>
          <w:rFonts w:ascii="Arial" w:eastAsia="Times New Roman" w:hAnsi="Arial" w:cs="Arial"/>
          <w:b/>
          <w:bCs/>
          <w:color w:val="222222"/>
          <w:kern w:val="0"/>
          <w:sz w:val="28"/>
          <w:szCs w:val="28"/>
          <w14:ligatures w14:val="none"/>
        </w:rPr>
      </w:pPr>
      <w:r w:rsidRPr="008F61A0">
        <w:rPr>
          <w:rFonts w:ascii="Arial" w:eastAsia="Times New Roman" w:hAnsi="Arial" w:cs="Arial"/>
          <w:b/>
          <w:bCs/>
          <w:color w:val="222222"/>
          <w:kern w:val="0"/>
          <w:sz w:val="28"/>
          <w:szCs w:val="28"/>
          <w14:ligatures w14:val="none"/>
        </w:rPr>
        <w:t>DR. MARK RIDLEY-THOMAS ASKS NINTH CIRCUIT TO REHEAR CASE, WARNS RULING TURNS “REPUTATION” INTO A FEDERAL CRIME</w:t>
      </w:r>
    </w:p>
    <w:p w14:paraId="4A9B95A3" w14:textId="5D407DFC" w:rsidR="008F61A0" w:rsidRPr="008F61A0" w:rsidRDefault="008F61A0" w:rsidP="008F61A0">
      <w:pPr>
        <w:shd w:val="clear" w:color="auto" w:fill="FFFFFF"/>
        <w:jc w:val="center"/>
        <w:rPr>
          <w:rFonts w:ascii="Arial" w:eastAsia="Times New Roman" w:hAnsi="Arial" w:cs="Arial"/>
          <w:color w:val="222222"/>
          <w:kern w:val="0"/>
          <w14:ligatures w14:val="none"/>
        </w:rPr>
      </w:pPr>
      <w:r>
        <w:rPr>
          <w:rFonts w:ascii="Arial" w:eastAsia="Times New Roman" w:hAnsi="Arial" w:cs="Arial"/>
          <w:b/>
          <w:bCs/>
          <w:color w:val="222222"/>
          <w:kern w:val="0"/>
          <w14:ligatures w14:val="none"/>
        </w:rPr>
        <w:t>***</w:t>
      </w:r>
    </w:p>
    <w:p w14:paraId="2D44DF72" w14:textId="77777777" w:rsidR="008F61A0" w:rsidRPr="008F61A0" w:rsidRDefault="008F61A0" w:rsidP="008F61A0">
      <w:pPr>
        <w:shd w:val="clear" w:color="auto" w:fill="FFFFFF"/>
        <w:jc w:val="center"/>
        <w:rPr>
          <w:rFonts w:ascii="Arial" w:eastAsia="Times New Roman" w:hAnsi="Arial" w:cs="Arial"/>
          <w:color w:val="222222"/>
          <w:kern w:val="0"/>
          <w14:ligatures w14:val="none"/>
        </w:rPr>
      </w:pPr>
      <w:r w:rsidRPr="008F61A0">
        <w:rPr>
          <w:rFonts w:ascii="Arial" w:eastAsia="Times New Roman" w:hAnsi="Arial" w:cs="Arial"/>
          <w:b/>
          <w:bCs/>
          <w:i/>
          <w:iCs/>
          <w:color w:val="222222"/>
          <w:kern w:val="0"/>
          <w14:ligatures w14:val="none"/>
        </w:rPr>
        <w:t>Petition argues panel’s bribery standard splits the circuits, conflicts with four Supreme Court decisions, and puts public officials across the West on notice and threatens public service as we know it</w:t>
      </w:r>
    </w:p>
    <w:p w14:paraId="463CE5D1" w14:textId="77777777" w:rsidR="008F61A0" w:rsidRPr="008F61A0" w:rsidRDefault="008F61A0" w:rsidP="008F61A0">
      <w:pPr>
        <w:shd w:val="clear" w:color="auto" w:fill="FFFFFF"/>
        <w:rPr>
          <w:rFonts w:ascii="Arial" w:eastAsia="Times New Roman" w:hAnsi="Arial" w:cs="Arial"/>
          <w:color w:val="222222"/>
          <w:kern w:val="0"/>
          <w14:ligatures w14:val="none"/>
        </w:rPr>
      </w:pPr>
    </w:p>
    <w:p w14:paraId="29494EC1" w14:textId="77777777" w:rsid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b/>
          <w:bCs/>
          <w:color w:val="222222"/>
          <w:kern w:val="0"/>
          <w14:ligatures w14:val="none"/>
        </w:rPr>
        <w:t>LOS ANGELES —</w:t>
      </w:r>
      <w:r w:rsidRPr="008F61A0">
        <w:rPr>
          <w:rFonts w:ascii="Arial" w:eastAsia="Times New Roman" w:hAnsi="Arial" w:cs="Arial"/>
          <w:color w:val="222222"/>
          <w:kern w:val="0"/>
          <w14:ligatures w14:val="none"/>
        </w:rPr>
        <w:t> Attorneys for Dr. Mark Ridley-Thomas filed a petition today asking the U.S. Court of Appeals for the Ninth Circuit to rehear his case, including rehearing en banc before an 11-judge panel, arguing that the three-judge panel’s August 3 decision dramatically expands federal bribery law and potentially exposes public officials across the Ninth Circuit to prosecution for the ordinary realities of political life.</w:t>
      </w:r>
    </w:p>
    <w:p w14:paraId="2DD56C25" w14:textId="77777777" w:rsidR="008F61A0" w:rsidRPr="008F61A0" w:rsidRDefault="008F61A0" w:rsidP="008F61A0">
      <w:pPr>
        <w:shd w:val="clear" w:color="auto" w:fill="FFFFFF"/>
        <w:rPr>
          <w:rFonts w:ascii="Arial" w:eastAsia="Times New Roman" w:hAnsi="Arial" w:cs="Arial"/>
          <w:color w:val="222222"/>
          <w:kern w:val="0"/>
          <w14:ligatures w14:val="none"/>
        </w:rPr>
      </w:pPr>
    </w:p>
    <w:p w14:paraId="66B7BD35" w14:textId="2671CCE9"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The petition puts the central question plainly:</w:t>
      </w:r>
      <w:r>
        <w:rPr>
          <w:rFonts w:ascii="Arial" w:eastAsia="Times New Roman" w:hAnsi="Arial" w:cs="Arial"/>
          <w:color w:val="222222"/>
          <w:kern w:val="0"/>
          <w14:ligatures w14:val="none"/>
        </w:rPr>
        <w:t xml:space="preserve"> </w:t>
      </w:r>
      <w:r w:rsidRPr="008F61A0">
        <w:rPr>
          <w:rFonts w:ascii="Arial" w:eastAsia="Times New Roman" w:hAnsi="Arial" w:cs="Arial"/>
          <w:color w:val="222222"/>
          <w:kern w:val="0"/>
          <w14:ligatures w14:val="none"/>
        </w:rPr>
        <w:t xml:space="preserve">“This case presents a question of first impression in this Circuit: in a federal bribery scheme, must the predicate </w:t>
      </w:r>
      <w:r>
        <w:rPr>
          <w:rFonts w:ascii="Arial" w:eastAsia="Times New Roman" w:hAnsi="Arial" w:cs="Arial"/>
          <w:color w:val="222222"/>
          <w:kern w:val="0"/>
          <w14:ligatures w14:val="none"/>
        </w:rPr>
        <w:t>‘</w:t>
      </w:r>
      <w:r w:rsidRPr="008F61A0">
        <w:rPr>
          <w:rFonts w:ascii="Arial" w:eastAsia="Times New Roman" w:hAnsi="Arial" w:cs="Arial"/>
          <w:color w:val="222222"/>
          <w:kern w:val="0"/>
          <w14:ligatures w14:val="none"/>
        </w:rPr>
        <w:t>thing of value’ enrich the charged public official (or his designee)?”</w:t>
      </w:r>
    </w:p>
    <w:p w14:paraId="3BCAF7DE" w14:textId="77777777" w:rsidR="008F61A0" w:rsidRDefault="008F61A0" w:rsidP="008F61A0">
      <w:pPr>
        <w:shd w:val="clear" w:color="auto" w:fill="FFFFFF"/>
        <w:rPr>
          <w:rFonts w:ascii="Arial" w:eastAsia="Times New Roman" w:hAnsi="Arial" w:cs="Arial"/>
          <w:color w:val="222222"/>
          <w:kern w:val="0"/>
          <w14:ligatures w14:val="none"/>
        </w:rPr>
      </w:pPr>
    </w:p>
    <w:p w14:paraId="5C8E94B6" w14:textId="68531356"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Its answer is equally direct:</w:t>
      </w:r>
      <w:r>
        <w:rPr>
          <w:rFonts w:ascii="Arial" w:eastAsia="Times New Roman" w:hAnsi="Arial" w:cs="Arial"/>
          <w:color w:val="222222"/>
          <w:kern w:val="0"/>
          <w14:ligatures w14:val="none"/>
        </w:rPr>
        <w:t xml:space="preserve"> </w:t>
      </w:r>
      <w:r w:rsidRPr="008F61A0">
        <w:rPr>
          <w:rFonts w:ascii="Arial" w:eastAsia="Times New Roman" w:hAnsi="Arial" w:cs="Arial"/>
          <w:color w:val="222222"/>
          <w:kern w:val="0"/>
          <w14:ligatures w14:val="none"/>
        </w:rPr>
        <w:t>“Ample precedent dictates a simple answer: Yes.”</w:t>
      </w:r>
    </w:p>
    <w:p w14:paraId="2B73E510" w14:textId="77777777" w:rsidR="008F61A0" w:rsidRDefault="008F61A0" w:rsidP="008F61A0">
      <w:pPr>
        <w:shd w:val="clear" w:color="auto" w:fill="FFFFFF"/>
        <w:rPr>
          <w:rFonts w:ascii="Arial" w:eastAsia="Times New Roman" w:hAnsi="Arial" w:cs="Arial"/>
          <w:color w:val="222222"/>
          <w:kern w:val="0"/>
          <w14:ligatures w14:val="none"/>
        </w:rPr>
      </w:pPr>
    </w:p>
    <w:p w14:paraId="64EBE6F4" w14:textId="634A10D0" w:rsid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The Ninth Circuit panel held otherwise, concluding that a “thing of value” can encompass subjective reputational benefits even when the public official receives no financial enrichment.</w:t>
      </w:r>
    </w:p>
    <w:p w14:paraId="34FCDA28" w14:textId="77777777" w:rsidR="008F61A0" w:rsidRPr="008F61A0" w:rsidRDefault="008F61A0" w:rsidP="008F61A0">
      <w:pPr>
        <w:shd w:val="clear" w:color="auto" w:fill="FFFFFF"/>
        <w:rPr>
          <w:rFonts w:ascii="Arial" w:eastAsia="Times New Roman" w:hAnsi="Arial" w:cs="Arial"/>
          <w:color w:val="222222"/>
          <w:kern w:val="0"/>
          <w14:ligatures w14:val="none"/>
        </w:rPr>
      </w:pPr>
    </w:p>
    <w:p w14:paraId="4907FA81" w14:textId="77777777"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Ridley-Thomas’s attorneys argue that the ruling puts the Ninth Circuit in conflict with other federal appellate courts that have rejected similar efforts to transform intangible political or professional benefits into federal bribery. The petition points specifically to the Seventh Circuit, where neither “psychic” benefits nor “political favors” qualify as things of value, and the First Circuit, where “professional benefits” do not qualify.</w:t>
      </w:r>
    </w:p>
    <w:p w14:paraId="5221F4DD" w14:textId="77777777"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The petition cites </w:t>
      </w:r>
      <w:r w:rsidRPr="008F61A0">
        <w:rPr>
          <w:rFonts w:ascii="Arial" w:eastAsia="Times New Roman" w:hAnsi="Arial" w:cs="Arial"/>
          <w:i/>
          <w:iCs/>
          <w:color w:val="222222"/>
          <w:kern w:val="0"/>
          <w14:ligatures w14:val="none"/>
        </w:rPr>
        <w:t>United States v. Thompson</w:t>
      </w:r>
      <w:r w:rsidRPr="008F61A0">
        <w:rPr>
          <w:rFonts w:ascii="Arial" w:eastAsia="Times New Roman" w:hAnsi="Arial" w:cs="Arial"/>
          <w:color w:val="222222"/>
          <w:kern w:val="0"/>
          <w14:ligatures w14:val="none"/>
        </w:rPr>
        <w:t>, </w:t>
      </w:r>
      <w:r w:rsidRPr="008F61A0">
        <w:rPr>
          <w:rFonts w:ascii="Arial" w:eastAsia="Times New Roman" w:hAnsi="Arial" w:cs="Arial"/>
          <w:i/>
          <w:iCs/>
          <w:color w:val="222222"/>
          <w:kern w:val="0"/>
          <w14:ligatures w14:val="none"/>
        </w:rPr>
        <w:t>United States v. Blagojevich</w:t>
      </w:r>
      <w:r w:rsidRPr="008F61A0">
        <w:rPr>
          <w:rFonts w:ascii="Arial" w:eastAsia="Times New Roman" w:hAnsi="Arial" w:cs="Arial"/>
          <w:color w:val="222222"/>
          <w:kern w:val="0"/>
          <w14:ligatures w14:val="none"/>
        </w:rPr>
        <w:t>, and </w:t>
      </w:r>
      <w:r w:rsidRPr="008F61A0">
        <w:rPr>
          <w:rFonts w:ascii="Arial" w:eastAsia="Times New Roman" w:hAnsi="Arial" w:cs="Arial"/>
          <w:i/>
          <w:iCs/>
          <w:color w:val="222222"/>
          <w:kern w:val="0"/>
          <w14:ligatures w14:val="none"/>
        </w:rPr>
        <w:t>United States v. Abdelaziz</w:t>
      </w:r>
      <w:r w:rsidRPr="008F61A0">
        <w:rPr>
          <w:rFonts w:ascii="Arial" w:eastAsia="Times New Roman" w:hAnsi="Arial" w:cs="Arial"/>
          <w:color w:val="222222"/>
          <w:kern w:val="0"/>
          <w14:ligatures w14:val="none"/>
        </w:rPr>
        <w:t> in support of that argument.</w:t>
      </w:r>
    </w:p>
    <w:p w14:paraId="75FA6F95" w14:textId="77777777" w:rsidR="008F61A0" w:rsidRDefault="008F61A0" w:rsidP="008F61A0">
      <w:pPr>
        <w:shd w:val="clear" w:color="auto" w:fill="FFFFFF"/>
        <w:rPr>
          <w:rFonts w:ascii="Arial" w:eastAsia="Times New Roman" w:hAnsi="Arial" w:cs="Arial"/>
          <w:b/>
          <w:bCs/>
          <w:color w:val="222222"/>
          <w:kern w:val="0"/>
          <w14:ligatures w14:val="none"/>
        </w:rPr>
      </w:pPr>
    </w:p>
    <w:p w14:paraId="7BBB9F7E" w14:textId="76CEC8CE"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b/>
          <w:bCs/>
          <w:color w:val="222222"/>
          <w:kern w:val="0"/>
          <w14:ligatures w14:val="none"/>
        </w:rPr>
        <w:t>NO PERSONAL ENRICHMENT, NO GOVERNMENT LOSS</w:t>
      </w:r>
    </w:p>
    <w:p w14:paraId="67E2A37A" w14:textId="69763F3E"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 xml:space="preserve">Dr. Ridley-Thomas was convicted in 2023 on charges arising from a $100,000 donation his campaign committee made to USC. The university </w:t>
      </w:r>
      <w:r>
        <w:rPr>
          <w:rFonts w:ascii="Arial" w:eastAsia="Times New Roman" w:hAnsi="Arial" w:cs="Arial"/>
          <w:color w:val="222222"/>
          <w:kern w:val="0"/>
          <w14:ligatures w14:val="none"/>
        </w:rPr>
        <w:t>then</w:t>
      </w:r>
      <w:r w:rsidRPr="008F61A0">
        <w:rPr>
          <w:rFonts w:ascii="Arial" w:eastAsia="Times New Roman" w:hAnsi="Arial" w:cs="Arial"/>
          <w:color w:val="222222"/>
          <w:kern w:val="0"/>
          <w14:ligatures w14:val="none"/>
        </w:rPr>
        <w:t xml:space="preserve"> directed funds to a nonprofit where his son, Sebastian Ridley-Thomas, volunteered </w:t>
      </w:r>
      <w:r>
        <w:rPr>
          <w:rFonts w:ascii="Arial" w:eastAsia="Times New Roman" w:hAnsi="Arial" w:cs="Arial"/>
          <w:color w:val="222222"/>
          <w:kern w:val="0"/>
          <w14:ligatures w14:val="none"/>
        </w:rPr>
        <w:t>without</w:t>
      </w:r>
      <w:r w:rsidRPr="008F61A0">
        <w:rPr>
          <w:rFonts w:ascii="Arial" w:eastAsia="Times New Roman" w:hAnsi="Arial" w:cs="Arial"/>
          <w:color w:val="222222"/>
          <w:kern w:val="0"/>
          <w14:ligatures w14:val="none"/>
        </w:rPr>
        <w:t xml:space="preserve"> </w:t>
      </w:r>
      <w:r>
        <w:rPr>
          <w:rFonts w:ascii="Arial" w:eastAsia="Times New Roman" w:hAnsi="Arial" w:cs="Arial"/>
          <w:color w:val="222222"/>
          <w:kern w:val="0"/>
          <w14:ligatures w14:val="none"/>
        </w:rPr>
        <w:t>pa</w:t>
      </w:r>
      <w:r w:rsidRPr="008F61A0">
        <w:rPr>
          <w:rFonts w:ascii="Arial" w:eastAsia="Times New Roman" w:hAnsi="Arial" w:cs="Arial"/>
          <w:color w:val="222222"/>
          <w:kern w:val="0"/>
          <w14:ligatures w14:val="none"/>
        </w:rPr>
        <w:t>y.</w:t>
      </w:r>
    </w:p>
    <w:p w14:paraId="7CA65F26" w14:textId="5551DC2F" w:rsid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lastRenderedPageBreak/>
        <w:t xml:space="preserve">A federal jury acquitted Dr. Ridley-Thomas on 12 of the 19 counts. He was sentenced to 42 months in federal prison and has remained free on bail </w:t>
      </w:r>
      <w:r>
        <w:rPr>
          <w:rFonts w:ascii="Arial" w:eastAsia="Times New Roman" w:hAnsi="Arial" w:cs="Arial"/>
          <w:color w:val="222222"/>
          <w:kern w:val="0"/>
          <w14:ligatures w14:val="none"/>
        </w:rPr>
        <w:t>while</w:t>
      </w:r>
      <w:r w:rsidRPr="008F61A0">
        <w:rPr>
          <w:rFonts w:ascii="Arial" w:eastAsia="Times New Roman" w:hAnsi="Arial" w:cs="Arial"/>
          <w:color w:val="222222"/>
          <w:kern w:val="0"/>
          <w14:ligatures w14:val="none"/>
        </w:rPr>
        <w:t xml:space="preserve"> appeal</w:t>
      </w:r>
      <w:r>
        <w:rPr>
          <w:rFonts w:ascii="Arial" w:eastAsia="Times New Roman" w:hAnsi="Arial" w:cs="Arial"/>
          <w:color w:val="222222"/>
          <w:kern w:val="0"/>
          <w14:ligatures w14:val="none"/>
        </w:rPr>
        <w:t>ing</w:t>
      </w:r>
      <w:r w:rsidRPr="008F61A0">
        <w:rPr>
          <w:rFonts w:ascii="Arial" w:eastAsia="Times New Roman" w:hAnsi="Arial" w:cs="Arial"/>
          <w:color w:val="222222"/>
          <w:kern w:val="0"/>
          <w14:ligatures w14:val="none"/>
        </w:rPr>
        <w:t>. A three-judge Ninth Circuit panel affirmed his convictions on August 3.</w:t>
      </w:r>
    </w:p>
    <w:p w14:paraId="5C83EB25" w14:textId="77777777" w:rsidR="008F61A0" w:rsidRPr="008F61A0" w:rsidRDefault="008F61A0" w:rsidP="008F61A0">
      <w:pPr>
        <w:shd w:val="clear" w:color="auto" w:fill="FFFFFF"/>
        <w:rPr>
          <w:rFonts w:ascii="Arial" w:eastAsia="Times New Roman" w:hAnsi="Arial" w:cs="Arial"/>
          <w:color w:val="222222"/>
          <w:kern w:val="0"/>
          <w14:ligatures w14:val="none"/>
        </w:rPr>
      </w:pPr>
    </w:p>
    <w:p w14:paraId="159D4139" w14:textId="591B24F5" w:rsid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At the heart of the rehearing petition is what Ridley-Thomas’s attorneys say the government’s bribery theory</w:t>
      </w:r>
      <w:r>
        <w:rPr>
          <w:rFonts w:ascii="Arial" w:eastAsia="Times New Roman" w:hAnsi="Arial" w:cs="Arial"/>
          <w:color w:val="222222"/>
          <w:kern w:val="0"/>
          <w14:ligatures w14:val="none"/>
        </w:rPr>
        <w:t xml:space="preserve"> lacked</w:t>
      </w:r>
      <w:r w:rsidRPr="008F61A0">
        <w:rPr>
          <w:rFonts w:ascii="Arial" w:eastAsia="Times New Roman" w:hAnsi="Arial" w:cs="Arial"/>
          <w:color w:val="222222"/>
          <w:kern w:val="0"/>
          <w14:ligatures w14:val="none"/>
        </w:rPr>
        <w:t>: enrichment.</w:t>
      </w:r>
    </w:p>
    <w:p w14:paraId="32E7CA59" w14:textId="77777777" w:rsidR="008F61A0" w:rsidRPr="008F61A0" w:rsidRDefault="008F61A0" w:rsidP="008F61A0">
      <w:pPr>
        <w:shd w:val="clear" w:color="auto" w:fill="FFFFFF"/>
        <w:rPr>
          <w:rFonts w:ascii="Arial" w:eastAsia="Times New Roman" w:hAnsi="Arial" w:cs="Arial"/>
          <w:color w:val="222222"/>
          <w:kern w:val="0"/>
          <w14:ligatures w14:val="none"/>
        </w:rPr>
      </w:pPr>
    </w:p>
    <w:p w14:paraId="4CDBEA51" w14:textId="77777777" w:rsid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“Ridley-Thomas derived no enrichment from the alleged bribe, and the government suffered no loss,” the petition states. “He gained only reputational benefits, with no objective value, from donating his funds to USC rather than funding Sebastian’s nonprofit directly. A purely reputational benefit should not be a sufficient predicate for liability.”</w:t>
      </w:r>
    </w:p>
    <w:p w14:paraId="25AB3597" w14:textId="77777777" w:rsidR="008F61A0" w:rsidRPr="008F61A0" w:rsidRDefault="008F61A0" w:rsidP="008F61A0">
      <w:pPr>
        <w:shd w:val="clear" w:color="auto" w:fill="FFFFFF"/>
        <w:rPr>
          <w:rFonts w:ascii="Arial" w:eastAsia="Times New Roman" w:hAnsi="Arial" w:cs="Arial"/>
          <w:color w:val="222222"/>
          <w:kern w:val="0"/>
          <w14:ligatures w14:val="none"/>
        </w:rPr>
      </w:pPr>
    </w:p>
    <w:p w14:paraId="2BB911A0" w14:textId="77777777"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The implications, his attorneys argue, extend far beyond this case. If enhancing or protecting a public official’s reputation can itself constitute a “thing of value” for purposes of federal bribery law, the petition contends, the boundary between criminal corruption and ordinary political conduct becomes dangerously uncertain.</w:t>
      </w:r>
    </w:p>
    <w:p w14:paraId="3C602F2F" w14:textId="77777777" w:rsidR="008F61A0" w:rsidRDefault="008F61A0" w:rsidP="008F61A0">
      <w:pPr>
        <w:shd w:val="clear" w:color="auto" w:fill="FFFFFF"/>
        <w:rPr>
          <w:rFonts w:ascii="Arial" w:eastAsia="Times New Roman" w:hAnsi="Arial" w:cs="Arial"/>
          <w:b/>
          <w:bCs/>
          <w:color w:val="222222"/>
          <w:kern w:val="0"/>
          <w14:ligatures w14:val="none"/>
        </w:rPr>
      </w:pPr>
    </w:p>
    <w:p w14:paraId="75E5E5B0" w14:textId="3433A57B"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b/>
          <w:bCs/>
          <w:color w:val="222222"/>
          <w:kern w:val="0"/>
          <w14:ligatures w14:val="none"/>
        </w:rPr>
        <w:t>PETITION: PANEL RULING CONFLICTS WITH SUPREME COURT</w:t>
      </w:r>
    </w:p>
    <w:p w14:paraId="0FA9847B" w14:textId="77777777"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The petition also argues that the panel’s decision runs counter to a series of U.S. Supreme Court decisions limiting expansive federal corruption prosecutions.</w:t>
      </w:r>
    </w:p>
    <w:p w14:paraId="1314162E" w14:textId="77777777" w:rsidR="008F61A0" w:rsidRDefault="008F61A0" w:rsidP="008F61A0">
      <w:pPr>
        <w:shd w:val="clear" w:color="auto" w:fill="FFFFFF"/>
        <w:rPr>
          <w:rFonts w:ascii="Arial" w:eastAsia="Times New Roman" w:hAnsi="Arial" w:cs="Arial"/>
          <w:color w:val="222222"/>
          <w:kern w:val="0"/>
          <w14:ligatures w14:val="none"/>
        </w:rPr>
      </w:pPr>
    </w:p>
    <w:p w14:paraId="754C199A" w14:textId="1B4DCF3D"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Over the past 16 years, the Supreme Court has repeatedly narrowed the reach of federal public-corruption and honest-services theories, including in </w:t>
      </w:r>
      <w:r w:rsidRPr="008F61A0">
        <w:rPr>
          <w:rFonts w:ascii="Arial" w:eastAsia="Times New Roman" w:hAnsi="Arial" w:cs="Arial"/>
          <w:i/>
          <w:iCs/>
          <w:color w:val="222222"/>
          <w:kern w:val="0"/>
          <w14:ligatures w14:val="none"/>
        </w:rPr>
        <w:t>Skilling v. United States</w:t>
      </w:r>
      <w:r w:rsidRPr="008F61A0">
        <w:rPr>
          <w:rFonts w:ascii="Arial" w:eastAsia="Times New Roman" w:hAnsi="Arial" w:cs="Arial"/>
          <w:color w:val="222222"/>
          <w:kern w:val="0"/>
          <w14:ligatures w14:val="none"/>
        </w:rPr>
        <w:t>, </w:t>
      </w:r>
      <w:r w:rsidRPr="008F61A0">
        <w:rPr>
          <w:rFonts w:ascii="Arial" w:eastAsia="Times New Roman" w:hAnsi="Arial" w:cs="Arial"/>
          <w:i/>
          <w:iCs/>
          <w:color w:val="222222"/>
          <w:kern w:val="0"/>
          <w14:ligatures w14:val="none"/>
        </w:rPr>
        <w:t>McDonnell v. United States</w:t>
      </w:r>
      <w:r w:rsidRPr="008F61A0">
        <w:rPr>
          <w:rFonts w:ascii="Arial" w:eastAsia="Times New Roman" w:hAnsi="Arial" w:cs="Arial"/>
          <w:color w:val="222222"/>
          <w:kern w:val="0"/>
          <w14:ligatures w14:val="none"/>
        </w:rPr>
        <w:t>, </w:t>
      </w:r>
      <w:r w:rsidRPr="008F61A0">
        <w:rPr>
          <w:rFonts w:ascii="Arial" w:eastAsia="Times New Roman" w:hAnsi="Arial" w:cs="Arial"/>
          <w:i/>
          <w:iCs/>
          <w:color w:val="222222"/>
          <w:kern w:val="0"/>
          <w14:ligatures w14:val="none"/>
        </w:rPr>
        <w:t>Percoco v. United States</w:t>
      </w:r>
      <w:r w:rsidRPr="008F61A0">
        <w:rPr>
          <w:rFonts w:ascii="Arial" w:eastAsia="Times New Roman" w:hAnsi="Arial" w:cs="Arial"/>
          <w:color w:val="222222"/>
          <w:kern w:val="0"/>
          <w14:ligatures w14:val="none"/>
        </w:rPr>
        <w:t>, and </w:t>
      </w:r>
      <w:r w:rsidRPr="008F61A0">
        <w:rPr>
          <w:rFonts w:ascii="Arial" w:eastAsia="Times New Roman" w:hAnsi="Arial" w:cs="Arial"/>
          <w:i/>
          <w:iCs/>
          <w:color w:val="222222"/>
          <w:kern w:val="0"/>
          <w14:ligatures w14:val="none"/>
        </w:rPr>
        <w:t>Snyder v. United States</w:t>
      </w:r>
      <w:r w:rsidRPr="008F61A0">
        <w:rPr>
          <w:rFonts w:ascii="Arial" w:eastAsia="Times New Roman" w:hAnsi="Arial" w:cs="Arial"/>
          <w:color w:val="222222"/>
          <w:kern w:val="0"/>
          <w14:ligatures w14:val="none"/>
        </w:rPr>
        <w:t>.</w:t>
      </w:r>
    </w:p>
    <w:p w14:paraId="5EDE902C" w14:textId="77777777" w:rsidR="008F61A0" w:rsidRDefault="008F61A0" w:rsidP="008F61A0">
      <w:pPr>
        <w:shd w:val="clear" w:color="auto" w:fill="FFFFFF"/>
        <w:rPr>
          <w:rFonts w:ascii="Arial" w:eastAsia="Times New Roman" w:hAnsi="Arial" w:cs="Arial"/>
          <w:color w:val="222222"/>
          <w:kern w:val="0"/>
          <w14:ligatures w14:val="none"/>
        </w:rPr>
      </w:pPr>
    </w:p>
    <w:p w14:paraId="037F2E9F" w14:textId="50FEED33"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Quoting </w:t>
      </w:r>
      <w:r w:rsidRPr="008F61A0">
        <w:rPr>
          <w:rFonts w:ascii="Arial" w:eastAsia="Times New Roman" w:hAnsi="Arial" w:cs="Arial"/>
          <w:i/>
          <w:iCs/>
          <w:color w:val="222222"/>
          <w:kern w:val="0"/>
          <w14:ligatures w14:val="none"/>
        </w:rPr>
        <w:t>Snyder</w:t>
      </w:r>
      <w:r w:rsidRPr="008F61A0">
        <w:rPr>
          <w:rFonts w:ascii="Arial" w:eastAsia="Times New Roman" w:hAnsi="Arial" w:cs="Arial"/>
          <w:color w:val="222222"/>
          <w:kern w:val="0"/>
          <w14:ligatures w14:val="none"/>
        </w:rPr>
        <w:t>, the petition warns that an overly expansive interpretation of federal corruption law “would create traps for unwary state and local officials.”</w:t>
      </w:r>
    </w:p>
    <w:p w14:paraId="1163F105" w14:textId="77777777" w:rsidR="008F61A0" w:rsidRDefault="008F61A0" w:rsidP="008F61A0">
      <w:pPr>
        <w:shd w:val="clear" w:color="auto" w:fill="FFFFFF"/>
        <w:rPr>
          <w:rFonts w:ascii="Arial" w:eastAsia="Times New Roman" w:hAnsi="Arial" w:cs="Arial"/>
          <w:color w:val="222222"/>
          <w:kern w:val="0"/>
          <w14:ligatures w14:val="none"/>
        </w:rPr>
      </w:pPr>
    </w:p>
    <w:p w14:paraId="597B1BBA" w14:textId="2E9A2199" w:rsid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It also invokes Justice Neil Gorsuch’s concurrence in </w:t>
      </w:r>
      <w:r w:rsidRPr="008F61A0">
        <w:rPr>
          <w:rFonts w:ascii="Arial" w:eastAsia="Times New Roman" w:hAnsi="Arial" w:cs="Arial"/>
          <w:i/>
          <w:iCs/>
          <w:color w:val="222222"/>
          <w:kern w:val="0"/>
          <w14:ligatures w14:val="none"/>
        </w:rPr>
        <w:t>Percoco</w:t>
      </w:r>
      <w:r w:rsidRPr="008F61A0">
        <w:rPr>
          <w:rFonts w:ascii="Arial" w:eastAsia="Times New Roman" w:hAnsi="Arial" w:cs="Arial"/>
          <w:color w:val="222222"/>
          <w:kern w:val="0"/>
          <w14:ligatures w14:val="none"/>
        </w:rPr>
        <w:t>:</w:t>
      </w:r>
      <w:r>
        <w:rPr>
          <w:rFonts w:ascii="Arial" w:eastAsia="Times New Roman" w:hAnsi="Arial" w:cs="Arial"/>
          <w:color w:val="222222"/>
          <w:kern w:val="0"/>
          <w14:ligatures w14:val="none"/>
        </w:rPr>
        <w:t xml:space="preserve"> </w:t>
      </w:r>
      <w:r w:rsidRPr="008F61A0">
        <w:rPr>
          <w:rFonts w:ascii="Arial" w:eastAsia="Times New Roman" w:hAnsi="Arial" w:cs="Arial"/>
          <w:color w:val="222222"/>
          <w:kern w:val="0"/>
          <w14:ligatures w14:val="none"/>
        </w:rPr>
        <w:t>“[T]o this day, no one knows what ‘honest-services fraud’ encompasses.”</w:t>
      </w:r>
    </w:p>
    <w:p w14:paraId="469719F3" w14:textId="77777777" w:rsidR="008F61A0" w:rsidRPr="008F61A0" w:rsidRDefault="008F61A0" w:rsidP="008F61A0">
      <w:pPr>
        <w:shd w:val="clear" w:color="auto" w:fill="FFFFFF"/>
        <w:rPr>
          <w:rFonts w:ascii="Arial" w:eastAsia="Times New Roman" w:hAnsi="Arial" w:cs="Arial"/>
          <w:color w:val="222222"/>
          <w:kern w:val="0"/>
          <w14:ligatures w14:val="none"/>
        </w:rPr>
      </w:pPr>
    </w:p>
    <w:p w14:paraId="62E39824" w14:textId="77777777"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Ridley-Thomas’s attorneys argue that the panel decision compounds precisely that uncertainty by allowing an inherently subjective concept — reputational benefit — to serve as the “thing of value” underlying a federal bribery prosecution.</w:t>
      </w:r>
    </w:p>
    <w:p w14:paraId="6E2C39CD" w14:textId="77777777" w:rsidR="008F61A0" w:rsidRDefault="008F61A0" w:rsidP="008F61A0">
      <w:pPr>
        <w:shd w:val="clear" w:color="auto" w:fill="FFFFFF"/>
        <w:rPr>
          <w:rFonts w:ascii="Arial" w:eastAsia="Times New Roman" w:hAnsi="Arial" w:cs="Arial"/>
          <w:b/>
          <w:bCs/>
          <w:color w:val="222222"/>
          <w:kern w:val="0"/>
          <w14:ligatures w14:val="none"/>
        </w:rPr>
      </w:pPr>
    </w:p>
    <w:p w14:paraId="50509AA8" w14:textId="2DCB5FF0"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b/>
          <w:bCs/>
          <w:color w:val="222222"/>
          <w:kern w:val="0"/>
          <w14:ligatures w14:val="none"/>
        </w:rPr>
        <w:t>PETITION ALSO CHALLENGES JURY-SELECTION RULING</w:t>
      </w:r>
    </w:p>
    <w:p w14:paraId="3F4A095B" w14:textId="77777777"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The rehearing petition separately challenges the panel’s treatment of Ridley-Thomas’s jury-selection claim.</w:t>
      </w:r>
    </w:p>
    <w:p w14:paraId="209FEBA4" w14:textId="77777777" w:rsidR="008F61A0" w:rsidRDefault="008F61A0" w:rsidP="008F61A0">
      <w:pPr>
        <w:shd w:val="clear" w:color="auto" w:fill="FFFFFF"/>
        <w:rPr>
          <w:rFonts w:ascii="Arial" w:eastAsia="Times New Roman" w:hAnsi="Arial" w:cs="Arial"/>
          <w:color w:val="222222"/>
          <w:kern w:val="0"/>
          <w14:ligatures w14:val="none"/>
        </w:rPr>
      </w:pPr>
    </w:p>
    <w:p w14:paraId="1655B83C" w14:textId="31B24F7B"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His attorneys argue that the court should recognize a </w:t>
      </w:r>
      <w:r w:rsidRPr="008F61A0">
        <w:rPr>
          <w:rFonts w:ascii="Arial" w:eastAsia="Times New Roman" w:hAnsi="Arial" w:cs="Arial"/>
          <w:i/>
          <w:iCs/>
          <w:color w:val="222222"/>
          <w:kern w:val="0"/>
          <w14:ligatures w14:val="none"/>
        </w:rPr>
        <w:t>Batson</w:t>
      </w:r>
      <w:r w:rsidRPr="008F61A0">
        <w:rPr>
          <w:rFonts w:ascii="Arial" w:eastAsia="Times New Roman" w:hAnsi="Arial" w:cs="Arial"/>
          <w:color w:val="222222"/>
          <w:kern w:val="0"/>
          <w14:ligatures w14:val="none"/>
        </w:rPr>
        <w:t> challenge based on the intersectional discrimination Black women may experience during jury selection rather than requiring claims of race and gender discrimination to be considered separately.</w:t>
      </w:r>
    </w:p>
    <w:p w14:paraId="04CD4645" w14:textId="77777777" w:rsidR="008F61A0" w:rsidRDefault="008F61A0" w:rsidP="008F61A0">
      <w:pPr>
        <w:shd w:val="clear" w:color="auto" w:fill="FFFFFF"/>
        <w:rPr>
          <w:rFonts w:ascii="Arial" w:eastAsia="Times New Roman" w:hAnsi="Arial" w:cs="Arial"/>
          <w:color w:val="222222"/>
          <w:kern w:val="0"/>
          <w14:ligatures w14:val="none"/>
        </w:rPr>
      </w:pPr>
    </w:p>
    <w:p w14:paraId="718996E8" w14:textId="520D6A3B" w:rsid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lastRenderedPageBreak/>
        <w:t>Citing an amicus brief submitted by Black law professors nationwide, the petition urges the Ninth Circuit to recognize race-and-gender-defined protected groups in order “to fulfill Batson’s promise of rooting out insidious discrimination in the jury selection process.”</w:t>
      </w:r>
    </w:p>
    <w:p w14:paraId="1492CFE6" w14:textId="77777777" w:rsidR="008F61A0" w:rsidRPr="008F61A0" w:rsidRDefault="008F61A0" w:rsidP="008F61A0">
      <w:pPr>
        <w:shd w:val="clear" w:color="auto" w:fill="FFFFFF"/>
        <w:rPr>
          <w:rFonts w:ascii="Arial" w:eastAsia="Times New Roman" w:hAnsi="Arial" w:cs="Arial"/>
          <w:color w:val="222222"/>
          <w:kern w:val="0"/>
          <w14:ligatures w14:val="none"/>
        </w:rPr>
      </w:pPr>
    </w:p>
    <w:p w14:paraId="34734AF0" w14:textId="75B2F5B2" w:rsid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The petition concludes:</w:t>
      </w:r>
      <w:r>
        <w:rPr>
          <w:rFonts w:ascii="Arial" w:eastAsia="Times New Roman" w:hAnsi="Arial" w:cs="Arial"/>
          <w:color w:val="222222"/>
          <w:kern w:val="0"/>
          <w14:ligatures w14:val="none"/>
        </w:rPr>
        <w:t xml:space="preserve"> </w:t>
      </w:r>
      <w:r w:rsidRPr="008F61A0">
        <w:rPr>
          <w:rFonts w:ascii="Arial" w:eastAsia="Times New Roman" w:hAnsi="Arial" w:cs="Arial"/>
          <w:color w:val="222222"/>
          <w:kern w:val="0"/>
          <w14:ligatures w14:val="none"/>
        </w:rPr>
        <w:t>“For these reasons, Ridley-Thomas respectfully requests panel rehearing and rehearing en banc.”</w:t>
      </w:r>
    </w:p>
    <w:p w14:paraId="30D06065" w14:textId="77777777" w:rsidR="008F61A0" w:rsidRPr="008F61A0" w:rsidRDefault="008F61A0" w:rsidP="008F61A0">
      <w:pPr>
        <w:shd w:val="clear" w:color="auto" w:fill="FFFFFF"/>
        <w:rPr>
          <w:rFonts w:ascii="Arial" w:eastAsia="Times New Roman" w:hAnsi="Arial" w:cs="Arial"/>
          <w:color w:val="222222"/>
          <w:kern w:val="0"/>
          <w14:ligatures w14:val="none"/>
        </w:rPr>
      </w:pPr>
    </w:p>
    <w:p w14:paraId="460E9EDF" w14:textId="77777777"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The Ninth Circuit will now determine whether the three-judge panel will rehear the case or whether rehearing en banc will be granted.</w:t>
      </w:r>
    </w:p>
    <w:p w14:paraId="6485B237" w14:textId="77777777" w:rsidR="008F61A0" w:rsidRDefault="008F61A0" w:rsidP="008F61A0">
      <w:pPr>
        <w:shd w:val="clear" w:color="auto" w:fill="FFFFFF"/>
        <w:rPr>
          <w:rFonts w:ascii="Arial" w:eastAsia="Times New Roman" w:hAnsi="Arial" w:cs="Arial"/>
          <w:b/>
          <w:bCs/>
          <w:color w:val="222222"/>
          <w:kern w:val="0"/>
          <w14:ligatures w14:val="none"/>
        </w:rPr>
      </w:pPr>
    </w:p>
    <w:p w14:paraId="39F1A801" w14:textId="450ED171"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b/>
          <w:bCs/>
          <w:color w:val="222222"/>
          <w:kern w:val="0"/>
          <w14:ligatures w14:val="none"/>
        </w:rPr>
        <w:t>EDITOR’S NOTE:</w:t>
      </w:r>
      <w:r w:rsidRPr="008F61A0">
        <w:rPr>
          <w:rFonts w:ascii="Arial" w:eastAsia="Times New Roman" w:hAnsi="Arial" w:cs="Arial"/>
          <w:color w:val="222222"/>
          <w:kern w:val="0"/>
          <w14:ligatures w14:val="none"/>
        </w:rPr>
        <w:t> A full copy of the Petition for Panel Rehearing and Petition for Rehearing En Banc is available </w:t>
      </w:r>
      <w:r w:rsidRPr="008F61A0">
        <w:rPr>
          <w:rFonts w:ascii="Arial" w:eastAsia="Times New Roman" w:hAnsi="Arial" w:cs="Arial"/>
          <w:b/>
          <w:bCs/>
          <w:color w:val="222222"/>
          <w:kern w:val="0"/>
          <w14:ligatures w14:val="none"/>
        </w:rPr>
        <w:t>HERE</w:t>
      </w:r>
      <w:r w:rsidRPr="008F61A0">
        <w:rPr>
          <w:rFonts w:ascii="Arial" w:eastAsia="Times New Roman" w:hAnsi="Arial" w:cs="Arial"/>
          <w:color w:val="222222"/>
          <w:kern w:val="0"/>
          <w14:ligatures w14:val="none"/>
        </w:rPr>
        <w:t>.</w:t>
      </w:r>
    </w:p>
    <w:p w14:paraId="07BB6C40" w14:textId="77777777" w:rsidR="008F61A0" w:rsidRDefault="008F61A0" w:rsidP="008F61A0">
      <w:pPr>
        <w:shd w:val="clear" w:color="auto" w:fill="FFFFFF"/>
        <w:rPr>
          <w:rFonts w:ascii="Arial" w:eastAsia="Times New Roman" w:hAnsi="Arial" w:cs="Arial"/>
          <w:b/>
          <w:bCs/>
          <w:color w:val="222222"/>
          <w:kern w:val="0"/>
          <w14:ligatures w14:val="none"/>
        </w:rPr>
      </w:pPr>
    </w:p>
    <w:p w14:paraId="06C703C9" w14:textId="7812E3D5"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b/>
          <w:bCs/>
          <w:color w:val="222222"/>
          <w:kern w:val="0"/>
          <w14:ligatures w14:val="none"/>
        </w:rPr>
        <w:t>About Dr. Mark Ridley-Thomas</w:t>
      </w:r>
    </w:p>
    <w:p w14:paraId="1BE8EC32" w14:textId="77777777" w:rsidR="008F61A0" w:rsidRPr="008F61A0" w:rsidRDefault="008F61A0" w:rsidP="008F61A0">
      <w:pPr>
        <w:shd w:val="clear" w:color="auto" w:fill="FFFFFF"/>
        <w:rPr>
          <w:rFonts w:ascii="Arial" w:eastAsia="Times New Roman" w:hAnsi="Arial" w:cs="Arial"/>
          <w:color w:val="222222"/>
          <w:kern w:val="0"/>
          <w14:ligatures w14:val="none"/>
        </w:rPr>
      </w:pPr>
      <w:r w:rsidRPr="008F61A0">
        <w:rPr>
          <w:rFonts w:ascii="Arial" w:eastAsia="Times New Roman" w:hAnsi="Arial" w:cs="Arial"/>
          <w:color w:val="222222"/>
          <w:kern w:val="0"/>
          <w14:ligatures w14:val="none"/>
        </w:rPr>
        <w:t>Dr. Mark Ridley-Thomas represented Los Angeles for nearly three decades in elected office, serving in the California State Assembly, California State Senate, Los Angeles City Council, and Los Angeles County Board of Supervisors. His public service included major initiatives to expand mental health services, support foster youth, address homelessness, develop affordable housing and build public health infrastructure throughout Los Angeles County.</w:t>
      </w:r>
    </w:p>
    <w:p w14:paraId="3CF101A3" w14:textId="77777777" w:rsidR="00E70EC8" w:rsidRDefault="00E70EC8"/>
    <w:p w14:paraId="476350C2" w14:textId="4A2161B5" w:rsidR="008F61A0" w:rsidRDefault="008F61A0" w:rsidP="008F61A0">
      <w:pPr>
        <w:jc w:val="center"/>
      </w:pPr>
      <w:r>
        <w:t># # #</w:t>
      </w:r>
    </w:p>
    <w:sectPr w:rsidR="008F61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1A0"/>
    <w:rsid w:val="0006019F"/>
    <w:rsid w:val="00356CD9"/>
    <w:rsid w:val="003966B8"/>
    <w:rsid w:val="00453ED8"/>
    <w:rsid w:val="00511227"/>
    <w:rsid w:val="005E1F17"/>
    <w:rsid w:val="00712028"/>
    <w:rsid w:val="008A517C"/>
    <w:rsid w:val="008F61A0"/>
    <w:rsid w:val="009458D7"/>
    <w:rsid w:val="009E7E96"/>
    <w:rsid w:val="00E70EC8"/>
    <w:rsid w:val="00F26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F7FB52"/>
  <w15:chartTrackingRefBased/>
  <w15:docId w15:val="{4637E657-525A-624A-9C45-761E4E98C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61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61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61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61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61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61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61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61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61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1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61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61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61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61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61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61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61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61A0"/>
    <w:rPr>
      <w:rFonts w:eastAsiaTheme="majorEastAsia" w:cstheme="majorBidi"/>
      <w:color w:val="272727" w:themeColor="text1" w:themeTint="D8"/>
    </w:rPr>
  </w:style>
  <w:style w:type="paragraph" w:styleId="Title">
    <w:name w:val="Title"/>
    <w:basedOn w:val="Normal"/>
    <w:next w:val="Normal"/>
    <w:link w:val="TitleChar"/>
    <w:uiPriority w:val="10"/>
    <w:qFormat/>
    <w:rsid w:val="008F61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1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1A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1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1A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F61A0"/>
    <w:rPr>
      <w:i/>
      <w:iCs/>
      <w:color w:val="404040" w:themeColor="text1" w:themeTint="BF"/>
    </w:rPr>
  </w:style>
  <w:style w:type="paragraph" w:styleId="ListParagraph">
    <w:name w:val="List Paragraph"/>
    <w:basedOn w:val="Normal"/>
    <w:uiPriority w:val="34"/>
    <w:qFormat/>
    <w:rsid w:val="008F61A0"/>
    <w:pPr>
      <w:ind w:left="720"/>
      <w:contextualSpacing/>
    </w:pPr>
  </w:style>
  <w:style w:type="character" w:styleId="IntenseEmphasis">
    <w:name w:val="Intense Emphasis"/>
    <w:basedOn w:val="DefaultParagraphFont"/>
    <w:uiPriority w:val="21"/>
    <w:qFormat/>
    <w:rsid w:val="008F61A0"/>
    <w:rPr>
      <w:i/>
      <w:iCs/>
      <w:color w:val="0F4761" w:themeColor="accent1" w:themeShade="BF"/>
    </w:rPr>
  </w:style>
  <w:style w:type="paragraph" w:styleId="IntenseQuote">
    <w:name w:val="Intense Quote"/>
    <w:basedOn w:val="Normal"/>
    <w:next w:val="Normal"/>
    <w:link w:val="IntenseQuoteChar"/>
    <w:uiPriority w:val="30"/>
    <w:qFormat/>
    <w:rsid w:val="008F61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61A0"/>
    <w:rPr>
      <w:i/>
      <w:iCs/>
      <w:color w:val="0F4761" w:themeColor="accent1" w:themeShade="BF"/>
    </w:rPr>
  </w:style>
  <w:style w:type="character" w:styleId="IntenseReference">
    <w:name w:val="Intense Reference"/>
    <w:basedOn w:val="DefaultParagraphFont"/>
    <w:uiPriority w:val="32"/>
    <w:qFormat/>
    <w:rsid w:val="008F61A0"/>
    <w:rPr>
      <w:b/>
      <w:bCs/>
      <w:smallCaps/>
      <w:color w:val="0F4761" w:themeColor="accent1" w:themeShade="BF"/>
      <w:spacing w:val="5"/>
    </w:rPr>
  </w:style>
  <w:style w:type="character" w:styleId="Hyperlink">
    <w:name w:val="Hyperlink"/>
    <w:basedOn w:val="DefaultParagraphFont"/>
    <w:uiPriority w:val="99"/>
    <w:unhideWhenUsed/>
    <w:rsid w:val="008F61A0"/>
    <w:rPr>
      <w:color w:val="467886" w:themeColor="hyperlink"/>
      <w:u w:val="single"/>
    </w:rPr>
  </w:style>
  <w:style w:type="character" w:styleId="UnresolvedMention">
    <w:name w:val="Unresolved Mention"/>
    <w:basedOn w:val="DefaultParagraphFont"/>
    <w:uiPriority w:val="99"/>
    <w:semiHidden/>
    <w:unhideWhenUsed/>
    <w:rsid w:val="008F6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ichael@mjbstrategies.com" TargetMode="External"/><Relationship Id="rId4" Type="http://schemas.openxmlformats.org/officeDocument/2006/relationships/hyperlink" Target="mailto:matt@klinkcampaig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856</Words>
  <Characters>5064</Characters>
  <Application>Microsoft Office Word</Application>
  <DocSecurity>0</DocSecurity>
  <Lines>87</Lines>
  <Paragraphs>39</Paragraphs>
  <ScaleCrop>false</ScaleCrop>
  <Company>Klink Campaigns, Inc.</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Klink</dc:creator>
  <cp:keywords/>
  <dc:description/>
  <cp:lastModifiedBy>Matthew Klink</cp:lastModifiedBy>
  <cp:revision>2</cp:revision>
  <dcterms:created xsi:type="dcterms:W3CDTF">2026-09-15T22:54:00Z</dcterms:created>
  <dcterms:modified xsi:type="dcterms:W3CDTF">2026-09-15T23:01:00Z</dcterms:modified>
</cp:coreProperties>
</file>