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B2B buyer persona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For help on how to fill this template in, check out our B2B buyer persona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example.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Remember: the characteristics are interchangeable. Depending on what’s most relevant for your business, you may want to remove or add additional fields. We’d recommend a maximum of 10 fields per persona and this template is designed to provide inspiration for what those fields might be/look like.</w:t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gridCol w:w="7110"/>
        <w:tblGridChange w:id="0">
          <w:tblGrid>
            <w:gridCol w:w="3225"/>
            <w:gridCol w:w="711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JANE DOE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Role in the buying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Background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Job: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Reports to: </w:t>
            </w:r>
            <w:r w:rsidDel="00000000" w:rsidR="00000000" w:rsidRPr="00000000">
              <w:rPr>
                <w:color w:val="2f2e2e"/>
                <w:rtl w:val="0"/>
              </w:rPr>
              <w:br w:type="textWrapping"/>
            </w:r>
            <w:r w:rsidDel="00000000" w:rsidR="00000000" w:rsidRPr="00000000">
              <w:rPr>
                <w:b w:val="1"/>
                <w:color w:val="2f2e2e"/>
                <w:rtl w:val="0"/>
              </w:rPr>
              <w:t xml:space="preserve">No. of employees: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Demographics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Age: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Gender: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Location: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Company info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Industry: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Size: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Revenue: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Personality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Responsibilities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Challenges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Motivators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Validators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Why won’t they buy?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What closes the deal?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Communication preferences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Most value features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Least valued features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Price point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Willing to pay: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Customer acquisition cost: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Lifetime value: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B2B buyer persona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L_WoBCImUiPWL_Se9tIQ1lHTnRb2ZbtXwGvbJbps3PU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