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0"/>
        <w:rPr/>
      </w:pPr>
      <w:r>
        <w:rPr/>
      </w:r>
    </w:p>
    <w:p>
      <w:pPr>
        <w:pStyle w:val="Normal"/>
        <w:spacing w:before="0" w:after="200"/>
        <w:jc w:val="center"/>
        <w:rPr/>
      </w:pPr>
      <w:r>
        <w:rPr>
          <w:b/>
          <w:bCs/>
          <w:color w:val="1F3864"/>
          <w:sz w:val="56"/>
          <w:szCs w:val="56"/>
        </w:rPr>
        <w:t>ZORAXY FORENSIC NETWORK ANALYSIS</w:t>
      </w:r>
    </w:p>
    <w:p>
      <w:pPr>
        <w:pStyle w:val="Normal"/>
        <w:spacing w:before="0" w:after="120"/>
        <w:jc w:val="center"/>
        <w:rPr/>
      </w:pPr>
      <w:r>
        <w:rPr>
          <w:color w:val="444444"/>
          <w:sz w:val="28"/>
          <w:szCs w:val="28"/>
        </w:rPr>
        <w:t>braedach.com Homelab — Period Review</w:t>
      </w:r>
    </w:p>
    <w:p>
      <w:pPr>
        <w:pStyle w:val="Normal"/>
        <w:spacing w:before="0" w:after="80"/>
        <w:jc w:val="center"/>
        <w:rPr/>
      </w:pPr>
      <w:r>
        <w:rPr>
          <w:i/>
          <w:iCs/>
          <w:color w:val="666666"/>
          <w:sz w:val="24"/>
          <w:szCs w:val="24"/>
        </w:rPr>
        <w:t>April – 13 October 2026</w:t>
      </w:r>
    </w:p>
    <w:p>
      <w:pPr>
        <w:pStyle w:val="Normal"/>
        <w:spacing w:before="0" w:after="80"/>
        <w:jc w:val="center"/>
        <w:rPr/>
      </w:pPr>
      <w:r>
        <w:rPr>
          <w:color w:val="666666"/>
          <w:sz w:val="22"/>
          <w:szCs w:val="22"/>
        </w:rPr>
        <w:t>Report Date: 13 October 2026 (Revision 1.5)</w:t>
      </w:r>
    </w:p>
    <w:p>
      <w:pPr>
        <w:pStyle w:val="Normal"/>
        <w:spacing w:before="0" w:after="1200"/>
        <w:jc w:val="center"/>
        <w:rPr/>
      </w:pPr>
      <w:r>
        <w:rPr>
          <w:i/>
          <w:iCs/>
          <w:color w:val="888888"/>
          <w:sz w:val="20"/>
          <w:szCs w:val="20"/>
        </w:rPr>
        <w:t>Zoraxy v3.3.5 (release candidate) | Forensic script v2.8.0 (stated in every report header) | Cloudflare dashboard snapshot: 13 Oct 2026, time window not stated</w:t>
      </w:r>
    </w:p>
    <w:p>
      <w:pPr>
        <w:pStyle w:val="Normal"/>
        <w:rPr/>
      </w:pPr>
      <w:r>
        <w:rPr/>
      </w:r>
      <w:r>
        <w:br w:type="page"/>
      </w:r>
    </w:p>
    <w:p>
      <w:pPr>
        <w:pStyle w:val="Heading1"/>
        <w:shd w:val="solid" w:color="1F3864" w:fill="1F3864"/>
        <w:spacing w:before="0" w:after="160"/>
        <w:rPr>
          <w:b/>
          <w:bCs/>
          <w:color w:val="FFFFFF"/>
        </w:rPr>
      </w:pPr>
      <w:r>
        <w:rPr/>
        <w:t>1. Executive Summary</w:t>
      </w:r>
    </w:p>
    <w:p>
      <w:pPr>
        <w:pStyle w:val="Normal"/>
        <w:spacing w:before="0" w:after="120"/>
        <w:jc w:val="start"/>
        <w:rPr/>
      </w:pPr>
      <w:r>
        <w:rPr>
          <w:sz w:val="20"/>
          <w:szCs w:val="20"/>
        </w:rPr>
        <w:t>Rev 1.5 is built on a single consistent data set: script v2.8.0 was re-run against every monthly log (zr_2026-4 to zr_2026-10), so every month now uses the same counting rules. Reports are cumulative month to date. April to September end at the 29th of their month (01:00 header time) and October ends 13 October 01:00. Totals are request lines and exclude a few UI-noise patterns by design. This replaces the approximate July and August figures in Rev 1.4, which were wrong (see Section 3).</w:t>
      </w:r>
    </w:p>
    <w:p>
      <w:pPr>
        <w:pStyle w:val="Heading2"/>
        <w:pBdr>
          <w:bottom w:val="single" w:sz="6" w:space="0" w:color="1F3864"/>
        </w:pBdr>
        <w:spacing w:before="240" w:after="120"/>
        <w:rPr/>
      </w:pPr>
      <w:r>
        <w:rPr/>
        <w:t>Where things stand</w:t>
      </w:r>
    </w:p>
    <w:p>
      <w:pPr>
        <w:pStyle w:val="ListParagraph"/>
        <w:numPr>
          <w:ilvl w:val="0"/>
          <w:numId w:val="3"/>
        </w:numPr>
        <w:spacing w:before="0" w:after="80"/>
        <w:ind w:hanging="360" w:start="360"/>
        <w:rPr/>
      </w:pPr>
      <w:r>
        <w:rPr/>
        <w:t>The Dockhand 401 spike (OI-11) is explained and has stopped. dockhand.baden logged 6,017 of October's 6,104 401s, and Top 401 Clients shows 6,070 of them from the primary workstation (192.168.20.85). That fits the owner's explanation of one browser tab retrying an expired session. The 11 Oct capture showed 6,013, so only 4 more arrived in the following 26 hours.</w:t>
      </w:r>
    </w:p>
    <w:p>
      <w:pPr>
        <w:pStyle w:val="ListParagraph"/>
        <w:numPr>
          <w:ilvl w:val="0"/>
          <w:numId w:val="1"/>
        </w:numPr>
        <w:spacing w:before="0" w:after="80"/>
        <w:ind w:hanging="360" w:start="360"/>
        <w:rPr/>
      </w:pPr>
      <w:r>
        <w:rPr/>
        <w:t>The unattributed 500s (OI-12) now have an origin: 62 of 63 are dockhand.baden (1 is jellyseerr.baden). These are application errors inside Dockhand, not probes.</w:t>
      </w:r>
    </w:p>
    <w:p>
      <w:pPr>
        <w:pStyle w:val="ListParagraph"/>
        <w:numPr>
          <w:ilvl w:val="0"/>
          <w:numId w:val="1"/>
        </w:numPr>
        <w:spacing w:before="0" w:after="80"/>
        <w:ind w:hanging="360" w:start="360"/>
        <w:rPr/>
      </w:pPr>
      <w:r>
        <w:rPr/>
        <w:t>The big September problems are gone. Pulse and SwarmAI generated 98.8% of September's 80,150 401s (pulse.baden 58,238, swarm.baden 20,977). Both services are retired and October has no Pulse traffic.</w:t>
      </w:r>
    </w:p>
    <w:p>
      <w:pPr>
        <w:pStyle w:val="ListParagraph"/>
        <w:numPr>
          <w:ilvl w:val="0"/>
          <w:numId w:val="1"/>
        </w:numPr>
        <w:spacing w:before="0" w:after="80"/>
        <w:ind w:hanging="360" w:start="360"/>
        <w:rPr/>
      </w:pPr>
      <w:r>
        <w:rPr/>
        <w:t>Cloudflare rule 2 (Challenge Spoofed Bot User-Agents) shows 0 events in the 13 Oct screenshot while spoofed AI-crawler user-agents were still reaching Zoraxy on 11 Oct. This is a new open item (OI-13); see Section 5.2.</w:t>
      </w:r>
    </w:p>
    <w:p>
      <w:pPr>
        <w:pStyle w:val="ListParagraph"/>
        <w:numPr>
          <w:ilvl w:val="0"/>
          <w:numId w:val="1"/>
        </w:numPr>
        <w:spacing w:before="0" w:after="80"/>
        <w:ind w:hanging="360" w:start="360"/>
        <w:rPr/>
      </w:pPr>
      <w:r>
        <w:rPr/>
        <w:t>External exposure is small and stable: 412 distinct WAN addresses in October so far (6,624 requests, 1.6% of traffic), against 1,093 addresses (29,525 requests, 2.1%) in September. Every month from April to August had none apart from one loopback line in July.</w:t>
      </w:r>
    </w:p>
    <w:p>
      <w:pPr>
        <w:pStyle w:val="Heading2"/>
        <w:pBdr>
          <w:bottom w:val="single" w:sz="6" w:space="0" w:color="1F3864"/>
        </w:pBdr>
        <w:spacing w:before="240" w:after="120"/>
        <w:rPr/>
      </w:pPr>
      <w:r>
        <w:rPr/>
        <w:t>Open items</w:t>
      </w:r>
    </w:p>
    <w:tbl>
      <w:tblPr>
        <w:tblW w:w="9500" w:type="dxa"/>
        <w:jc w:val="start"/>
        <w:tblInd w:w="0" w:type="dxa"/>
        <w:tblLayout w:type="fixed"/>
        <w:tblCellMar>
          <w:top w:w="60" w:type="dxa"/>
          <w:start w:w="80" w:type="dxa"/>
          <w:bottom w:w="60" w:type="dxa"/>
          <w:end w:w="80" w:type="dxa"/>
        </w:tblCellMar>
      </w:tblPr>
      <w:tblGrid>
        <w:gridCol w:w="2375"/>
        <w:gridCol w:w="2375"/>
        <w:gridCol w:w="2375"/>
        <w:gridCol w:w="2375"/>
      </w:tblGrid>
      <w:tr>
        <w:trPr>
          <w:tblHeader w:val="true"/>
        </w:trPr>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ID</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Priority</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Item</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Status</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OI-2</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HIGH</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nettools.braedach.com has no entry in the whitelist section and 387 errors this month (3,664 in September); this suggests no access filter. Confirm in the Zoraxy config.</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Open — verify</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OI-13</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MEDIUM</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Cloudflare rule 2 (Challenge Spoofed Bot User-Agents) shows 0 events. Find out whether it matches the traffic it was written for.</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New — verify in Cloudflare</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OI-7</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LOW</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Access-filter review: spiderfoot, n8n, termix, dockhand, artex. Also confirm that bentopdf, omnitools and ittools are meant to be public (none appears in the whitelist section).</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Open</w:t>
            </w:r>
          </w:p>
        </w:tc>
      </w:tr>
    </w:tbl>
    <w:p>
      <w:pPr>
        <w:pStyle w:val="Normal"/>
        <w:spacing w:before="0" w:after="120"/>
        <w:jc w:val="start"/>
        <w:rPr/>
      </w:pPr>
      <w:r>
        <w:rPr>
          <w:i/>
          <w:iCs/>
          <w:sz w:val="20"/>
          <w:szCs w:val="20"/>
        </w:rPr>
        <w:t>Proposed for closure on this data (your call): OI-11 (source confirmed, activity stopped) and OI-12 (500s attributed to dockhand.baden). If you want the 62 Dockhand 500s explained, the cause will be in the Dockhand container logs, not the proxy.</w:t>
      </w:r>
    </w:p>
    <w:p>
      <w:pPr>
        <w:pStyle w:val="Normal"/>
        <w:spacing w:before="0" w:after="80"/>
        <w:rPr/>
      </w:pPr>
      <w:r>
        <w:rPr/>
      </w:r>
    </w:p>
    <w:p>
      <w:pPr>
        <w:pStyle w:val="Normal"/>
        <w:spacing w:before="0" w:after="80"/>
        <w:rPr/>
      </w:pPr>
      <w:r>
        <w:rPr/>
      </w:r>
    </w:p>
    <w:p>
      <w:pPr>
        <w:pStyle w:val="Normal"/>
        <w:rPr/>
      </w:pPr>
      <w:r>
        <w:rPr/>
      </w:r>
      <w:r>
        <w:br w:type="page"/>
      </w:r>
    </w:p>
    <w:p>
      <w:pPr>
        <w:pStyle w:val="Heading1"/>
        <w:shd w:val="solid" w:color="1F3864" w:fill="1F3864"/>
        <w:spacing w:before="0" w:after="160"/>
        <w:rPr>
          <w:b/>
          <w:bCs/>
          <w:color w:val="FFFFFF"/>
        </w:rPr>
      </w:pPr>
      <w:r>
        <w:rPr/>
        <w:t>2. Infrastructure</w:t>
      </w:r>
    </w:p>
    <w:tbl>
      <w:tblPr>
        <w:tblW w:w="9500" w:type="dxa"/>
        <w:jc w:val="start"/>
        <w:tblInd w:w="0" w:type="dxa"/>
        <w:tblLayout w:type="fixed"/>
        <w:tblCellMar>
          <w:top w:w="60" w:type="dxa"/>
          <w:start w:w="80" w:type="dxa"/>
          <w:bottom w:w="60" w:type="dxa"/>
          <w:end w:w="80" w:type="dxa"/>
        </w:tblCellMar>
      </w:tblPr>
      <w:tblGrid>
        <w:gridCol w:w="3166"/>
        <w:gridCol w:w="3167"/>
        <w:gridCol w:w="3167"/>
      </w:tblGrid>
      <w:tr>
        <w:trPr>
          <w:tblHeader w:val="true"/>
        </w:trPr>
        <w:tc>
          <w:tcPr>
            <w:tcW w:w="3166"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Host</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Role</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Platform</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alex</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 v3.3.5 (release candidate) reverse proxy</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Debian 13 LXC, Proxmox VE 9.2</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baden</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Podman app server (internal *.baden hosts are LAN-only)</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Debian 13 LXC, Proxmox VE 9.2</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claude</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Dev / tooling LXC (authentik-dev, spiderfoot, artex)</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Debian 13 LXC</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pxe</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Hypervisor</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Proxmox VE 9.2</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UDM SE</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Ubiquiti</w:t>
            </w:r>
          </w:p>
        </w:tc>
      </w:tr>
    </w:tbl>
    <w:p>
      <w:pPr>
        <w:pStyle w:val="Normal"/>
        <w:spacing w:before="0" w:after="120"/>
        <w:jc w:val="start"/>
        <w:rPr/>
      </w:pPr>
      <w:r>
        <w:rPr>
          <w:i/>
          <w:iCs/>
          <w:sz w:val="20"/>
          <w:szCs w:val="20"/>
        </w:rPr>
        <w:t>Public hosts are those under braedach.com; the *.baden hosts have never been reached from outside the LAN.</w:t>
      </w:r>
    </w:p>
    <w:p>
      <w:pPr>
        <w:pStyle w:val="Normal"/>
        <w:spacing w:before="0" w:after="80"/>
        <w:rPr/>
      </w:pPr>
      <w:r>
        <w:rPr/>
      </w:r>
    </w:p>
    <w:p>
      <w:pPr>
        <w:pStyle w:val="Heading2"/>
        <w:pBdr>
          <w:bottom w:val="single" w:sz="6" w:space="0" w:color="1F3864"/>
        </w:pBdr>
        <w:spacing w:before="240" w:after="120"/>
        <w:rPr/>
      </w:pPr>
      <w:r>
        <w:rPr/>
        <w:t>Recent changes</w:t>
      </w:r>
    </w:p>
    <w:tbl>
      <w:tblPr>
        <w:tblW w:w="9500" w:type="dxa"/>
        <w:jc w:val="start"/>
        <w:tblInd w:w="0" w:type="dxa"/>
        <w:tblLayout w:type="fixed"/>
        <w:tblCellMar>
          <w:top w:w="60" w:type="dxa"/>
          <w:start w:w="80" w:type="dxa"/>
          <w:bottom w:w="60" w:type="dxa"/>
          <w:end w:w="80" w:type="dxa"/>
        </w:tblCellMar>
      </w:tblPr>
      <w:tblGrid>
        <w:gridCol w:w="4750"/>
        <w:gridCol w:w="4750"/>
      </w:tblGrid>
      <w:tr>
        <w:trPr>
          <w:tblHeader w:val="true"/>
        </w:trPr>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Change</w:t>
            </w:r>
          </w:p>
        </w:tc>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Effect on the logs</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 Oct: Portainer and its agents removed; Dockhand now manages container stacks on each LXC</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dockhand.baden dominates the suspicious-path table (stack, job and stats-stream polling) and is the main 401 and 500 source</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 Oct: Pulse and SwarmAI dropped</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No Pulse traffic in October. swarm.baden still shows 52 × 502/521, the same figure as the 11 Oct capture, so no new requests are arriving</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ittools.braedach.com and ittools.baden.braedach.com</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Origin naming settled</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New: artex.claude.braedach.com (Dockhand stack "artex")</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17 errors so far (16 × 502/521, 1 × 401); included in the filter review</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 3.3.5 release candidate; Beszel agent removed from alex; admin port 81 LAN-only</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No residual errors</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 origin ports folded into the host name; zoraxy-uptime excluded from user-agent lists; new Top 401 Clients, Top 500 Origins and Non-Standard Ports sections</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Used in this report. alex's uptime checker accounts for 6,964 October requests (4,321 in September), which equals alex's own request count.</w:t>
            </w:r>
          </w:p>
        </w:tc>
      </w:tr>
    </w:tbl>
    <w:p>
      <w:pPr>
        <w:pStyle w:val="Normal"/>
        <w:spacing w:before="0" w:after="80"/>
        <w:rPr/>
      </w:pPr>
      <w:r>
        <w:rPr/>
      </w:r>
    </w:p>
    <w:p>
      <w:pPr>
        <w:pStyle w:val="Normal"/>
        <w:spacing w:before="0" w:after="80"/>
        <w:rPr/>
      </w:pPr>
      <w:r>
        <w:rPr/>
      </w:r>
    </w:p>
    <w:p>
      <w:pPr>
        <w:pStyle w:val="Normal"/>
        <w:rPr/>
      </w:pPr>
      <w:r>
        <w:rPr/>
      </w:r>
      <w:r>
        <w:br w:type="page"/>
      </w:r>
    </w:p>
    <w:p>
      <w:pPr>
        <w:pStyle w:val="Heading1"/>
        <w:shd w:val="solid" w:color="1F3864" w:fill="1F3864"/>
        <w:spacing w:before="0" w:after="160"/>
        <w:rPr>
          <w:b/>
          <w:bCs/>
          <w:color w:val="FFFFFF"/>
        </w:rPr>
      </w:pPr>
      <w:r>
        <w:rPr/>
        <w:t>3. Traffic and Posture Trend</w:t>
      </w:r>
    </w:p>
    <w:p>
      <w:pPr>
        <w:pStyle w:val="Normal"/>
        <w:spacing w:before="0" w:after="120"/>
        <w:jc w:val="start"/>
        <w:rPr/>
      </w:pPr>
      <w:r>
        <w:rPr>
          <w:sz w:val="20"/>
          <w:szCs w:val="20"/>
        </w:rPr>
        <w:t>All rows come from the same script version and are totals of the status-code table; each equals LAN plus WAN request counts.</w:t>
      </w:r>
    </w:p>
    <w:tbl>
      <w:tblPr>
        <w:tblW w:w="9500" w:type="dxa"/>
        <w:jc w:val="start"/>
        <w:tblInd w:w="0" w:type="dxa"/>
        <w:tblLayout w:type="fixed"/>
        <w:tblCellMar>
          <w:top w:w="60" w:type="dxa"/>
          <w:start w:w="80" w:type="dxa"/>
          <w:bottom w:w="60" w:type="dxa"/>
          <w:end w:w="80" w:type="dxa"/>
        </w:tblCellMar>
      </w:tblPr>
      <w:tblGrid>
        <w:gridCol w:w="1187"/>
        <w:gridCol w:w="1188"/>
        <w:gridCol w:w="1187"/>
        <w:gridCol w:w="1188"/>
        <w:gridCol w:w="1187"/>
        <w:gridCol w:w="1188"/>
        <w:gridCol w:w="1187"/>
        <w:gridCol w:w="1188"/>
      </w:tblGrid>
      <w:tr>
        <w:trPr>
          <w:tblHeader w:val="true"/>
        </w:trPr>
        <w:tc>
          <w:tcPr>
            <w:tcW w:w="118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Month</w:t>
            </w:r>
          </w:p>
        </w:tc>
        <w:tc>
          <w:tcPr>
            <w:tcW w:w="1188"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Requests</w:t>
            </w:r>
          </w:p>
        </w:tc>
        <w:tc>
          <w:tcPr>
            <w:tcW w:w="118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WAN IPs</w:t>
            </w:r>
          </w:p>
        </w:tc>
        <w:tc>
          <w:tcPr>
            <w:tcW w:w="1188"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401</w:t>
            </w:r>
          </w:p>
        </w:tc>
        <w:tc>
          <w:tcPr>
            <w:tcW w:w="118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502/521</w:t>
            </w:r>
          </w:p>
        </w:tc>
        <w:tc>
          <w:tcPr>
            <w:tcW w:w="1188"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500</w:t>
            </w:r>
          </w:p>
        </w:tc>
        <w:tc>
          <w:tcPr>
            <w:tcW w:w="118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429</w:t>
            </w:r>
          </w:p>
        </w:tc>
        <w:tc>
          <w:tcPr>
            <w:tcW w:w="1188"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Key event</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Apr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21,439</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34</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78</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Baseline</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May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194,364</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186</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359</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142</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315</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Jellyseerr/Ollama errors; one workstation = 95%</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Jun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575,299</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462</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223</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273</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1,020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Dev environment; Jellyfin TV clients</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Jul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569,948</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 (loopback)</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371</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4,393</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85</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2,480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VLAN 20 consolidation; Pulse agents appear</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Aug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1,209,394</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440</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9,649</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145</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3,092</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Pulse agents 56% of all requests</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Sep (EOM)</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1,437,224</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1,093</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80,150</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5,290</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58</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2,729</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First external traffic; Pulse and Swarm 401 floods; WAF overhaul; plugin live</w:t>
            </w:r>
          </w:p>
        </w:tc>
      </w:tr>
      <w:tr>
        <w:trPr/>
        <w:tc>
          <w:tcPr>
            <w:tcW w:w="118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Oct (to 13th)</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403,236</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412</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6,104</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148</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63</w:t>
            </w:r>
          </w:p>
        </w:tc>
        <w:tc>
          <w:tcPr>
            <w:tcW w:w="118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62</w:t>
            </w:r>
          </w:p>
        </w:tc>
        <w:tc>
          <w:tcPr>
            <w:tcW w:w="1188"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Retired services; Dockhand 401 spike</w:t>
            </w:r>
          </w:p>
        </w:tc>
      </w:tr>
    </w:tbl>
    <w:p>
      <w:pPr>
        <w:pStyle w:val="Normal"/>
        <w:spacing w:before="0" w:after="120"/>
        <w:jc w:val="start"/>
        <w:rPr/>
      </w:pPr>
      <w:r>
        <w:rPr>
          <w:i/>
          <w:iCs/>
          <w:sz w:val="20"/>
          <w:szCs w:val="20"/>
        </w:rPr>
        <w:t>Correction to Rev 1.4: its July and August rows (about 296,200 and 473,200 requests; 502/521 of about 1,140 and 1,230) were approximations that the consistent re-run shows to be far too low. The figures above replace them.</w:t>
      </w:r>
    </w:p>
    <w:p>
      <w:pPr>
        <w:pStyle w:val="Heading2"/>
        <w:pBdr>
          <w:bottom w:val="single" w:sz="6" w:space="0" w:color="1F3864"/>
        </w:pBdr>
        <w:spacing w:before="240" w:after="120"/>
        <w:rPr/>
      </w:pPr>
      <w:r>
        <w:rPr/>
        <w:t>What drives the volume</w:t>
      </w:r>
    </w:p>
    <w:tbl>
      <w:tblPr>
        <w:tblW w:w="9500" w:type="dxa"/>
        <w:jc w:val="start"/>
        <w:tblInd w:w="0" w:type="dxa"/>
        <w:tblLayout w:type="fixed"/>
        <w:tblCellMar>
          <w:top w:w="60" w:type="dxa"/>
          <w:start w:w="80" w:type="dxa"/>
          <w:bottom w:w="60" w:type="dxa"/>
          <w:end w:w="80" w:type="dxa"/>
        </w:tblCellMar>
      </w:tblPr>
      <w:tblGrid>
        <w:gridCol w:w="2375"/>
        <w:gridCol w:w="2375"/>
        <w:gridCol w:w="2375"/>
        <w:gridCol w:w="2375"/>
      </w:tblGrid>
      <w:tr>
        <w:trPr>
          <w:tblHeader w:val="true"/>
        </w:trPr>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Month</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Largest source</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Share of requests</w:t>
            </w:r>
          </w:p>
        </w:tc>
        <w:tc>
          <w:tcPr>
            <w:tcW w:w="2375"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Pulse agent requests</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Apr</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84.5%</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May</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95.1%</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Jun</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96.3%</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Jul</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64.6%</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88,299</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Aug</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39.7%</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679,332 (56.2%)</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Sep</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55.6%</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554,502 (38.6%)</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Oct</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93.8%</w:t>
            </w:r>
          </w:p>
        </w:tc>
        <w:tc>
          <w:tcPr>
            <w:tcW w:w="2375"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0</w:t>
            </w:r>
          </w:p>
        </w:tc>
      </w:tr>
    </w:tbl>
    <w:p>
      <w:pPr>
        <w:pStyle w:val="Normal"/>
        <w:spacing w:before="0" w:after="120"/>
        <w:jc w:val="start"/>
        <w:rPr/>
      </w:pPr>
      <w:r>
        <w:rPr>
          <w:i/>
          <w:iCs/>
          <w:sz w:val="20"/>
          <w:szCs w:val="20"/>
        </w:rPr>
        <w:t>In October the dominant source is the primary workstation, mostly dashboard polling (c. 103,000 requests each for the memory, CPU and disk widgets). The largest source changes address across months (</w:t>
      </w:r>
      <w:r>
        <w:rPr>
          <w:i/>
          <w:iCs/>
          <w:sz w:val="20"/>
          <w:szCs w:val="20"/>
        </w:rPr>
        <w:t>REDACTED</w:t>
      </w:r>
      <w:r>
        <w:rPr>
          <w:i/>
          <w:iCs/>
          <w:sz w:val="20"/>
          <w:szCs w:val="20"/>
        </w:rPr>
        <w:t>), which fits the VLAN move but is not proven by the logs. Pulse agent requests are the three pulse-agent user-agents; their disappearance explains the fall in October volume. LAN addresses in 401s and 429s are usually that workstation, not an attack.</w:t>
      </w:r>
    </w:p>
    <w:p>
      <w:pPr>
        <w:pStyle w:val="Heading2"/>
        <w:pBdr>
          <w:bottom w:val="single" w:sz="6" w:space="0" w:color="1F3864"/>
        </w:pBdr>
        <w:spacing w:before="240" w:after="120"/>
        <w:rPr/>
      </w:pPr>
      <w:r>
        <w:rPr/>
        <w:t>October status codes (1–13 Oct)</w:t>
      </w:r>
    </w:p>
    <w:tbl>
      <w:tblPr>
        <w:tblW w:w="9500" w:type="dxa"/>
        <w:jc w:val="start"/>
        <w:tblInd w:w="0" w:type="dxa"/>
        <w:tblLayout w:type="fixed"/>
        <w:tblCellMar>
          <w:top w:w="60" w:type="dxa"/>
          <w:start w:w="80" w:type="dxa"/>
          <w:bottom w:w="60" w:type="dxa"/>
          <w:end w:w="80" w:type="dxa"/>
        </w:tblCellMar>
      </w:tblPr>
      <w:tblGrid>
        <w:gridCol w:w="3166"/>
        <w:gridCol w:w="3167"/>
        <w:gridCol w:w="3167"/>
      </w:tblGrid>
      <w:tr>
        <w:trPr>
          <w:tblHeader w:val="true"/>
        </w:trPr>
        <w:tc>
          <w:tcPr>
            <w:tcW w:w="3166"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Code</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Count</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Reading</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200 / 304</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374,463 / 16,701</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Normal</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401</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6,104</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dockhand 6,017; jellyfin.baden 38; portainer 13; beszel 12; grimmory.baden 9; jellyfin 7; n8n 5; ollama 2; artex 1.</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403</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863</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All blocking layers combined (whitelist, exploit detection, blacklist); the filtered sections cannot split this reliably</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404 / 405</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626 / 150</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Probe noise</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500</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63</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dockhand 62, jellyseerr 1</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502 / 521</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89 / 59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swarm 52 (retired, unchanged), homepage 23, dockhand 23, artex 16, blog 12, jellyseerr 10, spiderfoot 5, portainer 4, ollama 2, termix 1</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62</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Two LAN workstations, 31 each — page-load bursts</w:t>
            </w:r>
          </w:p>
        </w:tc>
      </w:tr>
    </w:tbl>
    <w:p>
      <w:pPr>
        <w:pStyle w:val="Normal"/>
        <w:spacing w:before="0" w:after="80"/>
        <w:rPr/>
      </w:pPr>
      <w:r>
        <w:rPr/>
      </w:r>
    </w:p>
    <w:p>
      <w:pPr>
        <w:pStyle w:val="Normal"/>
        <w:spacing w:before="0" w:after="80"/>
        <w:rPr/>
      </w:pPr>
      <w:r>
        <w:rPr/>
      </w:r>
    </w:p>
    <w:p>
      <w:pPr>
        <w:pStyle w:val="Normal"/>
        <w:rPr/>
      </w:pPr>
      <w:r>
        <w:rPr/>
      </w:r>
      <w:r>
        <w:br w:type="page"/>
      </w:r>
    </w:p>
    <w:p>
      <w:pPr>
        <w:pStyle w:val="Heading1"/>
        <w:shd w:val="solid" w:color="1F3864" w:fill="1F3864"/>
        <w:spacing w:before="0" w:after="160"/>
        <w:rPr>
          <w:b/>
          <w:bCs/>
          <w:color w:val="FFFFFF"/>
        </w:rPr>
      </w:pPr>
      <w:r>
        <w:rPr/>
        <w:t>4. Threat Intelligence</w:t>
      </w:r>
    </w:p>
    <w:p>
      <w:pPr>
        <w:pStyle w:val="Heading2"/>
        <w:pBdr>
          <w:bottom w:val="single" w:sz="6" w:space="0" w:color="1F3864"/>
        </w:pBdr>
        <w:spacing w:before="240" w:after="120"/>
        <w:rPr/>
      </w:pPr>
      <w:r>
        <w:rPr/>
        <w:t>4.1 Google-hosted scanning campaign — continuing, caught within seconds</w:t>
      </w:r>
    </w:p>
    <w:p>
      <w:pPr>
        <w:pStyle w:val="Normal"/>
        <w:spacing w:before="0" w:after="120"/>
        <w:jc w:val="start"/>
        <w:rPr/>
      </w:pPr>
      <w:r>
        <w:rPr>
          <w:sz w:val="20"/>
          <w:szCs w:val="20"/>
        </w:rPr>
        <w:t>Scanners on Google address space keep running short bursts, each request carrying a different AI-crawler or search-bot user-agent (Googlebot, Claude-User, Perplexity-User, MistralAI-User, xAI-Grok, Qwenbot, Hunyuan, DuckAssistBot, YiBot, Meta-ExternalFetcher and others) while probing for secrets: path traversal against /userfiles?path=../../../../.env and /proc/self/environ, the /api/console/api_server?apis=../../.env pattern, and Vite source-map requests for credential files. A bot name in a user-agent never overrides path-based detection.</w:t>
      </w:r>
    </w:p>
    <w:p>
      <w:pPr>
        <w:pStyle w:val="Normal"/>
        <w:spacing w:before="0" w:after="120"/>
        <w:jc w:val="start"/>
        <w:rPr/>
      </w:pPr>
      <w:r>
        <w:rPr>
          <w:sz w:val="20"/>
          <w:szCs w:val="20"/>
        </w:rPr>
        <w:t>The WAN list holds 36 addresses in Google's 34.x and 35.x blocks (1,247 requests; the provider is inferred from the prefix). The owner's ban records, not the log, show how many were actually banned (about 20 in October at last count). The seven below are the ones visible in this capture's filtered sections.</w:t>
      </w:r>
    </w:p>
    <w:tbl>
      <w:tblPr>
        <w:tblW w:w="9500" w:type="dxa"/>
        <w:jc w:val="start"/>
        <w:tblInd w:w="0" w:type="dxa"/>
        <w:tblLayout w:type="fixed"/>
        <w:tblCellMar>
          <w:top w:w="60" w:type="dxa"/>
          <w:start w:w="80" w:type="dxa"/>
          <w:bottom w:w="60" w:type="dxa"/>
          <w:end w:w="80" w:type="dxa"/>
        </w:tblCellMar>
      </w:tblPr>
      <w:tblGrid>
        <w:gridCol w:w="1900"/>
        <w:gridCol w:w="1900"/>
        <w:gridCol w:w="1900"/>
        <w:gridCol w:w="1900"/>
        <w:gridCol w:w="1900"/>
      </w:tblGrid>
      <w:tr>
        <w:trPr>
          <w:tblHeader w:val="true"/>
        </w:trPr>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Source IP</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Target</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First seen (local)</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Total requests in log</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In the lines shown</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34.95.146.56</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nettools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 Oct 22:29</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72</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exploit-blocked burst</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34.151.242.188</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omnitools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 Oct 10:07</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126</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exploit-blocked burst</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34.38.53.81</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bentopdf</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 Oct 17:08</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77</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exploit-blocked burst</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34.139.250.149</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grimmory</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 Oct 06:48</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93</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whitelist rejections, then a blacklist entry</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34.146.8.54</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nettools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 Oct 20:34</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47</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one proxied request, then blacklist entries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34.159.139.242</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bentopdf</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 Oct 23:16</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40</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exploit-blocked, plus one proxied request</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34.187.125.99</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bentopdf</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11 Oct 15:08</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80</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one proxied request, exploit-blocked lines, then blacklist entries about 1.8 seconds after the first request</w:t>
            </w:r>
          </w:p>
        </w:tc>
      </w:tr>
    </w:tbl>
    <w:p>
      <w:pPr>
        <w:pStyle w:val="Normal"/>
        <w:spacing w:before="0" w:after="120"/>
        <w:jc w:val="start"/>
        <w:rPr/>
      </w:pPr>
      <w:r>
        <w:rPr>
          <w:sz w:val="20"/>
          <w:szCs w:val="20"/>
        </w:rPr>
        <w:t>Banned addresses reaching Zoraxy in the seconds after a ban is expected propagation. A banned address still reaching the origin well after it is on the Cloudflare list would be a failure to flag, and none is evident. The blacklist entries in October appear on 5 and 11 October only. Nettools and bentopdf remain the most-targeted origins.</w:t>
      </w:r>
    </w:p>
    <w:p>
      <w:pPr>
        <w:pStyle w:val="Heading2"/>
        <w:pBdr>
          <w:bottom w:val="single" w:sz="6" w:space="0" w:color="1F3864"/>
        </w:pBdr>
        <w:spacing w:before="240" w:after="120"/>
        <w:rPr/>
      </w:pPr>
      <w:r>
        <w:rPr/>
        <w:t>4.2 Other external activity</w:t>
      </w:r>
    </w:p>
    <w:p>
      <w:pPr>
        <w:pStyle w:val="ListParagraph"/>
        <w:numPr>
          <w:ilvl w:val="0"/>
          <w:numId w:val="1"/>
        </w:numPr>
        <w:spacing w:before="0" w:after="80"/>
        <w:ind w:hanging="360" w:start="360"/>
        <w:rPr/>
      </w:pPr>
      <w:r>
        <w:rPr/>
        <w:t>The seven Asian-hosted scanners (118.26.37.56 and six others, 367–512 requests each, 2,743 in total) have not returned: their counts are identical in the 4, 11 and 13 Oct captures, so they have made no requests since the 4 Oct capture.</w:t>
      </w:r>
    </w:p>
    <w:p>
      <w:pPr>
        <w:pStyle w:val="ListParagraph"/>
        <w:numPr>
          <w:ilvl w:val="0"/>
          <w:numId w:val="1"/>
        </w:numPr>
        <w:spacing w:before="0" w:after="80"/>
        <w:ind w:hanging="360" w:start="360"/>
        <w:rPr/>
      </w:pPr>
      <w:r>
        <w:rPr/>
        <w:t>The two IPv6 addresses in 2001:8004:69b0::/48 (475 and 316 requests, 791 together) are the owner's own mobile connection, using Android browsers and the Jellyfin app against ittools, jellyfin and jellyseerr. This is legitimate and is an inference from the user-agents and hosts.</w:t>
      </w:r>
    </w:p>
    <w:p>
      <w:pPr>
        <w:pStyle w:val="ListParagraph"/>
        <w:numPr>
          <w:ilvl w:val="0"/>
          <w:numId w:val="1"/>
        </w:numPr>
        <w:spacing w:before="0" w:after="80"/>
        <w:ind w:hanging="360" w:start="360"/>
        <w:rPr/>
      </w:pPr>
      <w:r>
        <w:rPr/>
        <w:t>Self-identifying reconnaissance, not exploitation: Palo Alto Xpanse (60), Metabase CVE-2026-72898 detector (36, no Metabase deployed), AgentTrustBot (13), DuckAssistBot (12), ChamberBot (4), an Open WebUI RAG bot (2), RealCyber-enricher (1).</w:t>
      </w:r>
    </w:p>
    <w:p>
      <w:pPr>
        <w:pStyle w:val="ListParagraph"/>
        <w:numPr>
          <w:ilvl w:val="0"/>
          <w:numId w:val="1"/>
        </w:numPr>
        <w:spacing w:before="0" w:after="80"/>
        <w:ind w:hanging="360" w:start="360"/>
        <w:rPr/>
      </w:pPr>
      <w:r>
        <w:rPr/>
        <w:t>Single-page-app 200 responses to .env probes on bentopdf, nettools, omnitools and ittools are false positives, not breaches.</w:t>
      </w:r>
    </w:p>
    <w:p>
      <w:pPr>
        <w:pStyle w:val="Heading2"/>
        <w:pBdr>
          <w:bottom w:val="single" w:sz="6" w:space="0" w:color="1F3864"/>
        </w:pBdr>
        <w:spacing w:before="240" w:after="120"/>
        <w:rPr/>
      </w:pPr>
      <w:r>
        <w:rPr/>
        <w:t>4.3 Requests on non-standard ports (new in script v2.8.0)</w:t>
      </w:r>
    </w:p>
    <w:tbl>
      <w:tblPr>
        <w:tblW w:w="9500" w:type="dxa"/>
        <w:jc w:val="start"/>
        <w:tblInd w:w="0" w:type="dxa"/>
        <w:tblLayout w:type="fixed"/>
        <w:tblCellMar>
          <w:top w:w="60" w:type="dxa"/>
          <w:start w:w="80" w:type="dxa"/>
          <w:bottom w:w="60" w:type="dxa"/>
          <w:end w:w="80" w:type="dxa"/>
        </w:tblCellMar>
      </w:tblPr>
      <w:tblGrid>
        <w:gridCol w:w="4750"/>
        <w:gridCol w:w="4750"/>
      </w:tblGrid>
      <w:tr>
        <w:trPr>
          <w:tblHeader w:val="true"/>
        </w:trPr>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Port</w:t>
            </w:r>
          </w:p>
        </w:tc>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Requests (1–13 Oct)</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8443</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570</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2096</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377</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2083</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377</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2053</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376</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2087</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370</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Total</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end"/>
              <w:rPr/>
            </w:pPr>
            <w:r>
              <w:rPr>
                <w:b w:val="false"/>
                <w:bCs w:val="false"/>
                <w:sz w:val="18"/>
                <w:szCs w:val="18"/>
              </w:rPr>
              <w:t>2,070</w:t>
            </w:r>
          </w:p>
        </w:tc>
      </w:tr>
    </w:tbl>
    <w:p>
      <w:pPr>
        <w:pStyle w:val="Normal"/>
        <w:spacing w:before="0" w:after="120"/>
        <w:jc w:val="start"/>
        <w:rPr/>
      </w:pPr>
      <w:r>
        <w:rPr>
          <w:sz w:val="20"/>
          <w:szCs w:val="20"/>
        </w:rPr>
        <w:t>Rev 1.4 called the alternate-port traffic a single burst on 2 October. This capture does not support that: the whitelist section shows 8443 sweeps on 2 Oct (06:xx and 14:xx), 3 Oct 13:11 (142.93.129.190), and twice on 9 Oct, at 07:05 (207.154.197.113) and 21:26 (167.99.210.137), plus single hits on port 2053 on 4 and 5 Oct. The 9 Oct sweeps use the same path set (/console/, /server-status, /login.action, /___proxy_subdomain_whm/login, /v2/_catalog, /.DS_Store, /ecp/...) against jellyfin and grimmory, and the three addresses fall in ranges that look like a cloud hosting provider (inferred from the prefix). Every port-bearing line in the capture is a whitelist rejection (403), so none of these requests reached those hosts. The script prints per-port counts only, so the dates of the other 2083/2087/2096 requests cannot be read from this capture.</w:t>
      </w:r>
    </w:p>
    <w:p>
      <w:pPr>
        <w:pStyle w:val="Normal"/>
        <w:spacing w:before="0" w:after="80"/>
        <w:rPr/>
      </w:pPr>
      <w:r>
        <w:rPr/>
      </w:r>
    </w:p>
    <w:p>
      <w:pPr>
        <w:pStyle w:val="Normal"/>
        <w:spacing w:before="0" w:after="80"/>
        <w:rPr/>
      </w:pPr>
      <w:r>
        <w:rPr/>
      </w:r>
    </w:p>
    <w:p>
      <w:pPr>
        <w:pStyle w:val="Normal"/>
        <w:rPr/>
      </w:pPr>
      <w:r>
        <w:rPr/>
      </w:r>
      <w:r>
        <w:br w:type="page"/>
      </w:r>
    </w:p>
    <w:p>
      <w:pPr>
        <w:pStyle w:val="Heading1"/>
        <w:shd w:val="solid" w:color="1F3864" w:fill="1F3864"/>
        <w:spacing w:before="0" w:after="160"/>
        <w:rPr>
          <w:b/>
          <w:bCs/>
          <w:color w:val="FFFFFF"/>
        </w:rPr>
      </w:pPr>
      <w:r>
        <w:rPr/>
        <w:t>5. Defence Stack</w:t>
      </w:r>
    </w:p>
    <w:p>
      <w:pPr>
        <w:pStyle w:val="Heading2"/>
        <w:pBdr>
          <w:bottom w:val="single" w:sz="6" w:space="0" w:color="1F3864"/>
        </w:pBdr>
        <w:spacing w:before="240" w:after="120"/>
        <w:rPr/>
      </w:pPr>
      <w:r>
        <w:rPr/>
        <w:t>5.1 Cloudflare rules</w:t>
      </w:r>
    </w:p>
    <w:p>
      <w:pPr>
        <w:pStyle w:val="Normal"/>
        <w:spacing w:before="0" w:after="120"/>
        <w:jc w:val="start"/>
        <w:rPr/>
      </w:pPr>
      <w:r>
        <w:rPr>
          <w:sz w:val="20"/>
          <w:szCs w:val="20"/>
        </w:rPr>
        <w:t>All five custom-rule slots are in use, in this order, plus one rate-limit rule. Event counts exist only in dashboard screenshots; neither screenshot states its time window. The 13 Oct figures are not comparable with 5 Oct: rules 4 and 5 now show fewer events than before, which a longer window could not do, so the window must be shorter.</w:t>
      </w:r>
    </w:p>
    <w:tbl>
      <w:tblPr>
        <w:tblW w:w="9500" w:type="dxa"/>
        <w:jc w:val="start"/>
        <w:tblInd w:w="0" w:type="dxa"/>
        <w:tblLayout w:type="fixed"/>
        <w:tblCellMar>
          <w:top w:w="60" w:type="dxa"/>
          <w:start w:w="80" w:type="dxa"/>
          <w:bottom w:w="60" w:type="dxa"/>
          <w:end w:w="80" w:type="dxa"/>
        </w:tblCellMar>
      </w:tblPr>
      <w:tblGrid>
        <w:gridCol w:w="1900"/>
        <w:gridCol w:w="1900"/>
        <w:gridCol w:w="1900"/>
        <w:gridCol w:w="1900"/>
        <w:gridCol w:w="1900"/>
      </w:tblGrid>
      <w:tr>
        <w:trPr>
          <w:tblHeader w:val="true"/>
        </w:trPr>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Cloudflare rule</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Action</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5 Oct screenshot</w:t>
            </w:r>
          </w:p>
        </w:tc>
        <w:tc>
          <w:tcPr>
            <w:tcW w:w="190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13 Oct screenshot</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Google Cloud Services (ASN 396982 + listed /24s)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Managed Challenge</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25 events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 events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Challenge Spoofed Bot User-Agents (bot name patterns and named AI bots, guarded by not cf.client.bot)</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Challenge</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Not yet added</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0 events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 Crawlers, Scanners &amp; Automated Agents (verified-bot categories, scripted clients, scanner user-agents)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 events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32 events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4</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 Path Probing &amp; WordPress Attacks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762 events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142 events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 WAF plugin IP blocklist</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Managed Challenge</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1,020 events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163 events</w:t>
            </w:r>
          </w:p>
        </w:tc>
      </w:tr>
      <w:tr>
        <w:trPr/>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RL</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Leaked credential check (rate limit)</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0 events</w:t>
            </w:r>
          </w:p>
        </w:tc>
        <w:tc>
          <w:tcPr>
            <w:tcW w:w="190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0 events</w:t>
            </w:r>
          </w:p>
        </w:tc>
      </w:tr>
    </w:tbl>
    <w:p>
      <w:pPr>
        <w:pStyle w:val="Normal"/>
        <w:spacing w:before="0" w:after="120"/>
        <w:jc w:val="start"/>
        <w:rPr/>
      </w:pPr>
      <w:r>
        <w:rPr>
          <w:i/>
          <w:iCs/>
          <w:sz w:val="20"/>
          <w:szCs w:val="20"/>
        </w:rPr>
        <w:t>Challenge solve rate is 0% wherever the dashboard shows it. A request Cloudflare blocks or challenges never appears in the Zoraxy log, so Cloudflare counts live only in its dashboard.</w:t>
      </w:r>
    </w:p>
    <w:p>
      <w:pPr>
        <w:pStyle w:val="Heading2"/>
        <w:pBdr>
          <w:bottom w:val="single" w:sz="6" w:space="0" w:color="1F3864"/>
        </w:pBdr>
        <w:spacing w:before="240" w:after="120"/>
        <w:rPr/>
      </w:pPr>
      <w:r>
        <w:rPr/>
        <w:t>5.2 Rule 2 is not firing (OI-13)</w:t>
      </w:r>
    </w:p>
    <w:p>
      <w:pPr>
        <w:pStyle w:val="Normal"/>
        <w:spacing w:before="0" w:after="120"/>
        <w:jc w:val="start"/>
        <w:rPr/>
      </w:pPr>
      <w:r>
        <w:rPr>
          <w:sz w:val="20"/>
          <w:szCs w:val="20"/>
        </w:rPr>
        <w:t>What the logs show: spoofed AI-crawler user-agents from Google-hosted addresses still reached Zoraxy, for example Perplexity-User on 5 Oct and Hunyuan, DuckAssistBot and Meta-ExternalFetcher in the 11 Oct burst from 34.187.125.99 (blacklist lines). If rule 2 was live and enabled on 11 Oct, those requests should have matched it. When rule 2 went live is not in the data, so the 11 Oct burst is the only one that can be checked.</w:t>
      </w:r>
    </w:p>
    <w:p>
      <w:pPr>
        <w:pStyle w:val="Normal"/>
        <w:spacing w:before="0" w:after="120"/>
        <w:jc w:val="start"/>
        <w:rPr/>
      </w:pPr>
      <w:r>
        <w:rPr>
          <w:sz w:val="20"/>
          <w:szCs w:val="20"/>
        </w:rPr>
        <w:t>Possible causes, none confirmed:</w:t>
      </w:r>
    </w:p>
    <w:p>
      <w:pPr>
        <w:pStyle w:val="ListParagraph"/>
        <w:numPr>
          <w:ilvl w:val="0"/>
          <w:numId w:val="1"/>
        </w:numPr>
        <w:spacing w:before="0" w:after="80"/>
        <w:ind w:hanging="360" w:start="360"/>
        <w:rPr/>
      </w:pPr>
      <w:r>
        <w:rPr/>
        <w:t>The rule is saved but not enabled or deployed, or was deployed after 11 Oct.</w:t>
      </w:r>
    </w:p>
    <w:p>
      <w:pPr>
        <w:pStyle w:val="ListParagraph"/>
        <w:numPr>
          <w:ilvl w:val="0"/>
          <w:numId w:val="1"/>
        </w:numPr>
        <w:spacing w:before="0" w:after="80"/>
        <w:ind w:hanging="360" w:start="360"/>
        <w:rPr/>
      </w:pPr>
      <w:r>
        <w:rPr/>
        <w:t>The expression does not match the user-agents seen. Several of them (Hunyuan/1.0, Perplexity-User/1.0, Meta-ExternalFetcher/1.0) contain no "bot/" text, so they match only if listed by name. Cloudflare's contains operator is case-sensitive unless the user-agent is lower-cased first.</w:t>
      </w:r>
    </w:p>
    <w:p>
      <w:pPr>
        <w:pStyle w:val="ListParagraph"/>
        <w:numPr>
          <w:ilvl w:val="0"/>
          <w:numId w:val="1"/>
        </w:numPr>
        <w:spacing w:before="0" w:after="80"/>
        <w:ind w:hanging="360" w:start="360"/>
        <w:rPr/>
      </w:pPr>
      <w:r>
        <w:rPr/>
        <w:t>The traffic is stopped earlier in the order (rule 1 or an earlier ban), but rule 1 shows only 2 events against 36 Google-range addresses seen in the log, so this looks unlikely. The screenshot window may also be too short to show them.</w:t>
      </w:r>
    </w:p>
    <w:p>
      <w:pPr>
        <w:pStyle w:val="ListParagraph"/>
        <w:numPr>
          <w:ilvl w:val="0"/>
          <w:numId w:val="1"/>
        </w:numPr>
        <w:spacing w:before="0" w:after="80"/>
        <w:ind w:hanging="360" w:start="360"/>
        <w:rPr/>
      </w:pPr>
      <w:r>
        <w:rPr/>
        <w:t>The not cf.client.bot guard excludes the traffic; spoofed bots should not be classed as verified bots, so this is the least likely.</w:t>
      </w:r>
    </w:p>
    <w:p>
      <w:pPr>
        <w:pStyle w:val="Normal"/>
        <w:spacing w:before="0" w:after="120"/>
        <w:jc w:val="start"/>
        <w:rPr/>
      </w:pPr>
      <w:r>
        <w:rPr>
          <w:sz w:val="20"/>
          <w:szCs w:val="20"/>
        </w:rPr>
        <w:t>Checks: in Cloudflare Security Events, filter by the rule 2 ID over the last 7 days and confirm the rule status; then test from outside the LAN with curl -A "Mozilla/5.0 (compatible; Qwenbot/1.0; +https://qwen.alibaba.com/)" against a public host. A matching rule returns a challenge (response header cf-mitigated: challenge).</w:t>
      </w:r>
    </w:p>
    <w:p>
      <w:pPr>
        <w:pStyle w:val="Heading2"/>
        <w:pBdr>
          <w:bottom w:val="single" w:sz="6" w:space="0" w:color="1F3864"/>
        </w:pBdr>
        <w:spacing w:before="240" w:after="120"/>
        <w:rPr/>
      </w:pPr>
      <w:r>
        <w:rPr/>
        <w:t>5.3 Zoraxy and host layers</w:t>
      </w:r>
    </w:p>
    <w:tbl>
      <w:tblPr>
        <w:tblW w:w="9500" w:type="dxa"/>
        <w:jc w:val="start"/>
        <w:tblInd w:w="0" w:type="dxa"/>
        <w:tblLayout w:type="fixed"/>
        <w:tblCellMar>
          <w:top w:w="60" w:type="dxa"/>
          <w:start w:w="80" w:type="dxa"/>
          <w:bottom w:w="60" w:type="dxa"/>
          <w:end w:w="80" w:type="dxa"/>
        </w:tblCellMar>
      </w:tblPr>
      <w:tblGrid>
        <w:gridCol w:w="3166"/>
        <w:gridCol w:w="3167"/>
        <w:gridCol w:w="3167"/>
      </w:tblGrid>
      <w:tr>
        <w:trPr>
          <w:tblHeader w:val="true"/>
        </w:trPr>
        <w:tc>
          <w:tcPr>
            <w:tcW w:w="3166"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Layer</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Control</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Status</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Exploit detection ([router:exploit-blocked]), IP/country whitelist access filters on restricted hosts ([router:whitelist]), and the access-rule blacklist ([router:blacklist])</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Active</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alex</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REDACTED</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Active</w:t>
            </w:r>
          </w:p>
        </w:tc>
      </w:tr>
    </w:tbl>
    <w:p>
      <w:pPr>
        <w:pStyle w:val="Normal"/>
        <w:spacing w:before="0" w:after="120"/>
        <w:jc w:val="start"/>
        <w:rPr/>
      </w:pPr>
      <w:r>
        <w:rPr>
          <w:sz w:val="20"/>
          <w:szCs w:val="20"/>
        </w:rPr>
        <w:t>The whitelist filters on grimmory, jellyfin and jellyseerr reject external addresses; no LAN client appears in the October whitelist section (in September the section still held 192.168.20.85 hitting grimmory.baden and jellyfin.baden on 2 Sep, since closed).</w:t>
      </w:r>
    </w:p>
    <w:p>
      <w:pPr>
        <w:pStyle w:val="Normal"/>
        <w:spacing w:before="0" w:after="120"/>
        <w:jc w:val="start"/>
        <w:rPr/>
      </w:pPr>
      <w:r>
        <w:rPr>
          <w:sz w:val="20"/>
          <w:szCs w:val="20"/>
        </w:rPr>
        <w:t>Zoraxy Cloudflare WAF plugin (v0.3.1): it flags a client three ways — an exploit pattern; a sensitive-path probe whatever the status code (the main detector, since single-page apps answer any path with 200); or more than 30 4xx/5xx responses in 60 seconds. It then bans the address in the Cloudflare list and in Zoraxy's blacklist, and bans expire after 14 days. [router:blacklist] entries are Zoraxy blocks, not Cloudflare ones.</w:t>
      </w:r>
    </w:p>
    <w:p>
      <w:pPr>
        <w:pStyle w:val="Normal"/>
        <w:spacing w:before="0" w:after="80"/>
        <w:rPr/>
      </w:pPr>
      <w:r>
        <w:rPr/>
      </w:r>
    </w:p>
    <w:p>
      <w:pPr>
        <w:pStyle w:val="Normal"/>
        <w:spacing w:before="0" w:after="80"/>
        <w:rPr/>
      </w:pPr>
      <w:r>
        <w:rPr/>
      </w:r>
    </w:p>
    <w:p>
      <w:pPr>
        <w:pStyle w:val="Heading1"/>
        <w:shd w:val="solid" w:color="1F3864" w:fill="1F3864"/>
        <w:spacing w:before="320" w:after="160"/>
        <w:rPr>
          <w:b/>
          <w:bCs/>
          <w:color w:val="FFFFFF"/>
        </w:rPr>
      </w:pPr>
      <w:r>
        <w:rPr/>
        <w:t>6. Active Incidents</w:t>
      </w:r>
    </w:p>
    <w:tbl>
      <w:tblPr>
        <w:tblW w:w="9500" w:type="dxa"/>
        <w:jc w:val="start"/>
        <w:tblInd w:w="0" w:type="dxa"/>
        <w:tblLayout w:type="fixed"/>
        <w:tblCellMar>
          <w:top w:w="60" w:type="dxa"/>
          <w:start w:w="80" w:type="dxa"/>
          <w:bottom w:w="60" w:type="dxa"/>
          <w:end w:w="80" w:type="dxa"/>
        </w:tblCellMar>
      </w:tblPr>
      <w:tblGrid>
        <w:gridCol w:w="4750"/>
        <w:gridCol w:w="4750"/>
      </w:tblGrid>
      <w:tr>
        <w:trPr>
          <w:tblHeader w:val="true"/>
        </w:trPr>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Activity</w:t>
            </w:r>
          </w:p>
        </w:tc>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Status</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Google-hosted scanning campaign — see Section 4.1; rule 2 question in Section 5.2</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Mitigated, ongoing</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Port 8443 path sweeps against jellyfin and grimmory (latest 9 Oct) — see Section 4.3</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Blocked by the whitelist; watching</w:t>
            </w:r>
          </w:p>
        </w:tc>
      </w:tr>
    </w:tbl>
    <w:p>
      <w:pPr>
        <w:pStyle w:val="Normal"/>
        <w:spacing w:before="0" w:after="80"/>
        <w:rPr/>
      </w:pPr>
      <w:r>
        <w:rPr/>
      </w:r>
    </w:p>
    <w:p>
      <w:pPr>
        <w:pStyle w:val="Normal"/>
        <w:spacing w:before="0" w:after="80"/>
        <w:rPr/>
      </w:pPr>
      <w:r>
        <w:rPr/>
      </w:r>
    </w:p>
    <w:p>
      <w:pPr>
        <w:pStyle w:val="Heading1"/>
        <w:shd w:val="solid" w:color="1F3864" w:fill="1F3864"/>
        <w:spacing w:before="320" w:after="160"/>
        <w:rPr>
          <w:b/>
          <w:bCs/>
          <w:color w:val="FFFFFF"/>
        </w:rPr>
      </w:pPr>
      <w:r>
        <w:rPr/>
        <w:t>7. Recommendations</w:t>
      </w:r>
    </w:p>
    <w:p>
      <w:pPr>
        <w:pStyle w:val="ListParagraph"/>
        <w:numPr>
          <w:ilvl w:val="0"/>
          <w:numId w:val="1"/>
        </w:numPr>
        <w:spacing w:before="0" w:after="80"/>
        <w:ind w:hanging="360" w:start="360"/>
        <w:rPr/>
      </w:pPr>
      <w:r>
        <w:rPr/>
        <w:t>OI-13: check rule 2's status and expression in Cloudflare and run the curl test in Section 5.2. If it does not challenge a spoofed Qwenbot user-agent, fix the expression (lower-case the user-agent and list the named bots).</w:t>
      </w:r>
    </w:p>
    <w:p>
      <w:pPr>
        <w:pStyle w:val="ListParagraph"/>
        <w:numPr>
          <w:ilvl w:val="0"/>
          <w:numId w:val="1"/>
        </w:numPr>
        <w:spacing w:before="0" w:after="80"/>
        <w:ind w:hanging="360" w:start="360"/>
        <w:rPr/>
      </w:pPr>
      <w:r>
        <w:rPr/>
        <w:t>OI-2: confirm in Zoraxy whether nettools has the LAN + VPN access filter (</w:t>
      </w:r>
      <w:r>
        <w:rPr/>
        <w:t>REDACTED</w:t>
      </w:r>
      <w:r>
        <w:rPr/>
        <w:t>). It is a most-targeted origin and has no whitelist entry.</w:t>
      </w:r>
    </w:p>
    <w:p>
      <w:pPr>
        <w:pStyle w:val="ListParagraph"/>
        <w:numPr>
          <w:ilvl w:val="0"/>
          <w:numId w:val="1"/>
        </w:numPr>
        <w:spacing w:before="0" w:after="80"/>
        <w:ind w:hanging="360" w:start="360"/>
        <w:rPr/>
      </w:pPr>
      <w:r>
        <w:rPr/>
        <w:t>OI-7: decide which of bentopdf, omnitools and ittools are meant to be public, and review the filters on spiderfoot, n8n, termix, dockhand and artex.</w:t>
      </w:r>
    </w:p>
    <w:p>
      <w:pPr>
        <w:pStyle w:val="ListParagraph"/>
        <w:numPr>
          <w:ilvl w:val="0"/>
          <w:numId w:val="1"/>
        </w:numPr>
        <w:spacing w:before="0" w:after="80"/>
        <w:ind w:hanging="360" w:start="360"/>
        <w:rPr/>
      </w:pPr>
      <w:r>
        <w:rPr/>
        <w:t>Consider adding the 8443 sweep paths (/console/, /server-status, /login.action, /___proxy_subdomain_*, /v2/_catalog) to rule 4, so they are stopped at Cloudflare rather than at the whitelist.</w:t>
      </w:r>
    </w:p>
    <w:p>
      <w:pPr>
        <w:pStyle w:val="ListParagraph"/>
        <w:numPr>
          <w:ilvl w:val="0"/>
          <w:numId w:val="1"/>
        </w:numPr>
        <w:spacing w:before="0" w:after="80"/>
        <w:ind w:hanging="360" w:start="360"/>
        <w:rPr/>
      </w:pPr>
      <w:r>
        <w:rPr/>
        <w:t>Take Cloudflare rules screenshots with the date and time window noted, so rule event counts can be compared between reports.</w:t>
      </w:r>
    </w:p>
    <w:p>
      <w:pPr>
        <w:pStyle w:val="ListParagraph"/>
        <w:numPr>
          <w:ilvl w:val="0"/>
          <w:numId w:val="1"/>
        </w:numPr>
        <w:spacing w:before="0" w:after="80"/>
        <w:ind w:hanging="360" w:start="360"/>
        <w:rPr/>
      </w:pPr>
      <w:r>
        <w:rPr/>
        <w:t>Close OI-11 and OI-12 if you agree with Section 1.</w:t>
      </w:r>
    </w:p>
    <w:p>
      <w:pPr>
        <w:pStyle w:val="Normal"/>
        <w:spacing w:before="0" w:after="80"/>
        <w:rPr/>
      </w:pPr>
      <w:r>
        <w:rPr/>
      </w:r>
    </w:p>
    <w:p>
      <w:pPr>
        <w:pStyle w:val="Normal"/>
        <w:spacing w:before="0" w:after="80"/>
        <w:rPr/>
      </w:pPr>
      <w:r>
        <w:rPr/>
      </w:r>
    </w:p>
    <w:p>
      <w:pPr>
        <w:pStyle w:val="Heading1"/>
        <w:shd w:val="solid" w:color="1F3864" w:fill="1F3864"/>
        <w:spacing w:before="320" w:after="160"/>
        <w:rPr>
          <w:b/>
          <w:bCs/>
          <w:color w:val="FFFFFF"/>
        </w:rPr>
      </w:pPr>
      <w:r>
        <w:rPr/>
        <w:t>Appendix</w:t>
      </w:r>
    </w:p>
    <w:p>
      <w:pPr>
        <w:pStyle w:val="Heading2"/>
        <w:pBdr>
          <w:bottom w:val="single" w:sz="6" w:space="0" w:color="1F3864"/>
        </w:pBdr>
        <w:spacing w:before="240" w:after="120"/>
        <w:rPr/>
      </w:pPr>
      <w:r>
        <w:rPr/>
        <w:t>A. Source captures</w:t>
      </w:r>
    </w:p>
    <w:tbl>
      <w:tblPr>
        <w:tblW w:w="9500" w:type="dxa"/>
        <w:jc w:val="start"/>
        <w:tblInd w:w="0" w:type="dxa"/>
        <w:tblLayout w:type="fixed"/>
        <w:tblCellMar>
          <w:top w:w="60" w:type="dxa"/>
          <w:start w:w="80" w:type="dxa"/>
          <w:bottom w:w="60" w:type="dxa"/>
          <w:end w:w="80" w:type="dxa"/>
        </w:tblCellMar>
      </w:tblPr>
      <w:tblGrid>
        <w:gridCol w:w="3166"/>
        <w:gridCol w:w="3167"/>
        <w:gridCol w:w="3167"/>
      </w:tblGrid>
      <w:tr>
        <w:trPr>
          <w:tblHeader w:val="true"/>
        </w:trPr>
        <w:tc>
          <w:tcPr>
            <w:tcW w:w="3166"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Header timestamp</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Log</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Notes</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2026-04-29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zr_2026-4</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2026-05-29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zr_2026-5</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2026-06-29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2026-07-29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zr_2026-7</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2026-08-29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zr_2026-8</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2026-09-29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zr_2026-9</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2026-10-13</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zr_2026-10</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Script v2.8.0; also compared with the 4 and 11 Oct captures for unchanged counts</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13 Oct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Cloudflare WAF rules screenshot</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Time window not stated</w:t>
            </w:r>
          </w:p>
        </w:tc>
      </w:tr>
    </w:tbl>
    <w:p>
      <w:pPr>
        <w:pStyle w:val="Heading2"/>
        <w:pBdr>
          <w:bottom w:val="single" w:sz="6" w:space="0" w:color="1F3864"/>
        </w:pBdr>
        <w:spacing w:before="240" w:after="120"/>
        <w:rPr/>
      </w:pPr>
      <w:r>
        <w:rPr/>
        <w:t>B. Log prefixes</w:t>
      </w:r>
    </w:p>
    <w:tbl>
      <w:tblPr>
        <w:tblW w:w="9500" w:type="dxa"/>
        <w:jc w:val="start"/>
        <w:tblInd w:w="0" w:type="dxa"/>
        <w:tblLayout w:type="fixed"/>
        <w:tblCellMar>
          <w:top w:w="60" w:type="dxa"/>
          <w:start w:w="80" w:type="dxa"/>
          <w:bottom w:w="60" w:type="dxa"/>
          <w:end w:w="80" w:type="dxa"/>
        </w:tblCellMar>
      </w:tblPr>
      <w:tblGrid>
        <w:gridCol w:w="4750"/>
        <w:gridCol w:w="4750"/>
      </w:tblGrid>
      <w:tr>
        <w:trPr>
          <w:tblHeader w:val="true"/>
        </w:trPr>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Prefix</w:t>
            </w:r>
          </w:p>
        </w:tc>
        <w:tc>
          <w:tcPr>
            <w:tcW w:w="4750"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Meaning</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[router:host-http]</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Normal proxied request</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[router:exploit-blocked]</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 built-in exploit detection — 403</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[router:whitelist]</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IP or country allowlist rejection; occurs only on restricted hosts</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[router:blacklist]</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Zoraxy's own access-rule blacklist, populated by the Cloudflare WAF plugin; a burst produces many in the seconds after a ban</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[router:root-redirect]</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Redirected to root/decoy (includes plugin self-test)</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[plugin-manager]</w:t>
            </w:r>
          </w:p>
        </w:tc>
        <w:tc>
          <w:tcPr>
            <w:tcW w:w="4750"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Plugin system messages</w:t>
            </w:r>
          </w:p>
        </w:tc>
      </w:tr>
    </w:tbl>
    <w:p>
      <w:pPr>
        <w:pStyle w:val="Normal"/>
        <w:spacing w:before="0" w:after="120"/>
        <w:jc w:val="start"/>
        <w:rPr/>
      </w:pPr>
      <w:r>
        <w:rPr>
          <w:i/>
          <w:iCs/>
          <w:sz w:val="20"/>
          <w:szCs w:val="20"/>
        </w:rPr>
        <w:t>The exploit and whitelist sections print only lines containing matching text; they are filtered views, not counts. Use the section totals and the status-code table for numbers.</w:t>
      </w:r>
    </w:p>
    <w:p>
      <w:pPr>
        <w:pStyle w:val="Heading2"/>
        <w:pBdr>
          <w:bottom w:val="single" w:sz="6" w:space="0" w:color="1F3864"/>
        </w:pBdr>
        <w:spacing w:before="240" w:after="120"/>
        <w:rPr/>
      </w:pPr>
      <w:r>
        <w:rPr/>
        <w:t>C. What this report could not verify</w:t>
      </w:r>
    </w:p>
    <w:p>
      <w:pPr>
        <w:pStyle w:val="ListParagraph"/>
        <w:numPr>
          <w:ilvl w:val="0"/>
          <w:numId w:val="1"/>
        </w:numPr>
        <w:spacing w:before="0" w:after="80"/>
        <w:ind w:hanging="360" w:start="360"/>
        <w:rPr/>
      </w:pPr>
      <w:r>
        <w:rPr/>
        <w:t>Cloudflare event counts and their time window (dashboard only); when rule 2 went live.</w:t>
      </w:r>
    </w:p>
    <w:p>
      <w:pPr>
        <w:pStyle w:val="ListParagraph"/>
        <w:numPr>
          <w:ilvl w:val="0"/>
          <w:numId w:val="1"/>
        </w:numPr>
        <w:spacing w:before="0" w:after="80"/>
        <w:ind w:hanging="360" w:start="360"/>
        <w:rPr/>
      </w:pPr>
      <w:r>
        <w:rPr/>
        <w:t>How many Google-hosted addresses were banned (the owner's ban list is not in the logs); the 34.x/35.x count is a prefix inference.</w:t>
      </w:r>
    </w:p>
    <w:p>
      <w:pPr>
        <w:pStyle w:val="ListParagraph"/>
        <w:numPr>
          <w:ilvl w:val="0"/>
          <w:numId w:val="1"/>
        </w:numPr>
        <w:spacing w:before="0" w:after="80"/>
        <w:ind w:hanging="360" w:start="360"/>
        <w:rPr/>
      </w:pPr>
      <w:r>
        <w:rPr/>
        <w:t>Whether nettools, bentopdf, omnitools and ittools have access filters (absence from the whitelist section is only a hint).</w:t>
      </w:r>
    </w:p>
    <w:p>
      <w:pPr>
        <w:pStyle w:val="ListParagraph"/>
        <w:numPr>
          <w:ilvl w:val="0"/>
          <w:numId w:val="1"/>
        </w:numPr>
        <w:spacing w:before="0" w:after="80"/>
        <w:ind w:hanging="360" w:start="360"/>
        <w:rPr/>
      </w:pPr>
      <w:r>
        <w:rPr/>
        <w:t>The cause of the 62 Dockhand 500s, and the dates of the 2083/2087/2096 requests.</w:t>
      </w:r>
    </w:p>
    <w:p>
      <w:pPr>
        <w:pStyle w:val="Heading2"/>
        <w:pBdr>
          <w:bottom w:val="single" w:sz="6" w:space="0" w:color="1F3864"/>
        </w:pBdr>
        <w:spacing w:before="240" w:after="120"/>
        <w:rPr/>
      </w:pPr>
      <w:r>
        <w:rPr/>
        <w:t>D. Revision history</w:t>
      </w:r>
    </w:p>
    <w:tbl>
      <w:tblPr>
        <w:tblW w:w="9500" w:type="dxa"/>
        <w:jc w:val="start"/>
        <w:tblInd w:w="0" w:type="dxa"/>
        <w:tblLayout w:type="fixed"/>
        <w:tblCellMar>
          <w:top w:w="60" w:type="dxa"/>
          <w:start w:w="80" w:type="dxa"/>
          <w:bottom w:w="60" w:type="dxa"/>
          <w:end w:w="80" w:type="dxa"/>
        </w:tblCellMar>
      </w:tblPr>
      <w:tblGrid>
        <w:gridCol w:w="3166"/>
        <w:gridCol w:w="3167"/>
        <w:gridCol w:w="3167"/>
      </w:tblGrid>
      <w:tr>
        <w:trPr>
          <w:tblHeader w:val="true"/>
        </w:trPr>
        <w:tc>
          <w:tcPr>
            <w:tcW w:w="3166"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Rev</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Date</w:t>
            </w:r>
          </w:p>
        </w:tc>
        <w:tc>
          <w:tcPr>
            <w:tcW w:w="3167" w:type="dxa"/>
            <w:tcBorders>
              <w:top w:val="single" w:sz="4" w:space="0" w:color="000000"/>
              <w:start w:val="single" w:sz="4" w:space="0" w:color="000000"/>
              <w:bottom w:val="single" w:sz="4" w:space="0" w:color="000000"/>
              <w:end w:val="single" w:sz="4" w:space="0" w:color="000000"/>
            </w:tcBorders>
            <w:shd w:color="1F3864" w:fill="1F3864" w:val="solid"/>
          </w:tcPr>
          <w:p>
            <w:pPr>
              <w:pStyle w:val="Normal"/>
              <w:jc w:val="center"/>
              <w:rPr/>
            </w:pPr>
            <w:r>
              <w:rPr>
                <w:b/>
                <w:bCs/>
                <w:color w:val="FFFFFF"/>
                <w:sz w:val="18"/>
                <w:szCs w:val="18"/>
              </w:rPr>
              <w:t>Change</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1.0</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23 Sep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First full-period report</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1.1</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28 Sep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September final data; plugin confirmed live</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1.2</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 Oct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October capture; retired services; sections condensed</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1.3</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5 Oct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Zoraxy 3.3.5; ittools naming; Cloudflare rule counts from 5 Oct snapshot; resolved incidents/items removed</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1.4</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12 Oct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October capture to 11 Oct; Dockhand 401 spike; Google Cloud bursts; corrections reissue (filtered-section counts, blacklist attribution, versions)</w:t>
            </w:r>
          </w:p>
        </w:tc>
      </w:tr>
      <w:tr>
        <w:trPr/>
        <w:tc>
          <w:tcPr>
            <w:tcW w:w="3166"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1.5</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13 Oct 2026</w:t>
            </w:r>
          </w:p>
        </w:tc>
        <w:tc>
          <w:tcPr>
            <w:tcW w:w="3167" w:type="dxa"/>
            <w:tcBorders>
              <w:top w:val="single" w:sz="4" w:space="0" w:color="000000"/>
              <w:start w:val="single" w:sz="4" w:space="0" w:color="000000"/>
              <w:bottom w:val="single" w:sz="4" w:space="0" w:color="000000"/>
              <w:end w:val="single" w:sz="4" w:space="0" w:color="000000"/>
            </w:tcBorders>
          </w:tcPr>
          <w:p>
            <w:pPr>
              <w:pStyle w:val="Normal"/>
              <w:jc w:val="start"/>
              <w:rPr/>
            </w:pPr>
            <w:r>
              <w:rPr>
                <w:b w:val="false"/>
                <w:bCs w:val="false"/>
                <w:sz w:val="18"/>
                <w:szCs w:val="18"/>
              </w:rPr>
              <w:t>Rebuilt on script v2.8.0 re-runs of all months; trend table restated (July and August corrected); OI-11 and OI-12 resolved from new Top 401 Clients and Top 500 Origins; non-standard ports section; 13 Oct Cloudflare screenshot; rule 2 not firing (OI-13)</w:t>
            </w:r>
          </w:p>
        </w:tc>
      </w:tr>
    </w:tbl>
    <w:p>
      <w:pPr>
        <w:pStyle w:val="Normal"/>
        <w:spacing w:before="0" w:after="80"/>
        <w:rPr/>
      </w:pPr>
      <w:r>
        <w:rPr/>
      </w:r>
    </w:p>
    <w:p>
      <w:pPr>
        <w:pStyle w:val="Normal"/>
        <w:spacing w:before="0" w:after="120"/>
        <w:jc w:val="center"/>
        <w:rPr/>
      </w:pPr>
      <w:r>
        <w:rPr>
          <w:b/>
          <w:bCs/>
          <w:sz w:val="20"/>
          <w:szCs w:val="20"/>
        </w:rPr>
        <w:t xml:space="preserve">— </w:t>
      </w:r>
      <w:r>
        <w:rPr>
          <w:b/>
          <w:bCs/>
          <w:sz w:val="20"/>
          <w:szCs w:val="20"/>
        </w:rPr>
        <w:t>End of Report —</w:t>
      </w:r>
    </w:p>
    <w:sectPr>
      <w:type w:val="nextPage"/>
      <w:pgSz w:w="12240" w:h="15840"/>
      <w:pgMar w:left="900" w:right="90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2" w:hAnsi="Wingdings 2" w:cs="Wingdings 2"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
      <w:lvlJc w:val="start"/>
      <w:pPr>
        <w:tabs>
          <w:tab w:val="num" w:pos="0"/>
        </w:tabs>
        <w:ind w:start="3600" w:hanging="360"/>
      </w:pPr>
      <w:rPr>
        <w:rFonts w:ascii="Wingdings 2" w:hAnsi="Wingdings 2" w:cs="Wingdings 2"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
      <w:lvlJc w:val="start"/>
      <w:pPr>
        <w:tabs>
          <w:tab w:val="num" w:pos="0"/>
        </w:tabs>
        <w:ind w:start="5760" w:hanging="360"/>
      </w:pPr>
      <w:rPr>
        <w:rFonts w:ascii="Wingdings" w:hAnsi="Wingdings" w:cs="Wingdings"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AU" w:eastAsia="zh-CN" w:bidi="hi-IN"/>
      </w:rPr>
    </w:rPrDefault>
    <w:pPrDefault>
      <w:pPr>
        <w:suppressAutoHyphens w:val="true"/>
      </w:pPr>
    </w:pPrDefault>
  </w:docDefaults>
  <w:style w:type="paragraph" w:styleId="Normal">
    <w:name w:val="Normal"/>
    <w:pPr>
      <w:widowControl/>
      <w:bidi w:val="0"/>
      <w:spacing w:before="0" w:after="0"/>
      <w:jc w:val="start"/>
    </w:pPr>
    <w:rPr>
      <w:rFonts w:ascii="Calibri" w:hAnsi="Calibri" w:eastAsia="Calibri" w:cs="Calibri"/>
      <w:color w:val="auto"/>
      <w:kern w:val="0"/>
      <w:sz w:val="20"/>
      <w:szCs w:val="20"/>
      <w:lang w:val="en-AU"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rPr>
      <w:sz w:val="20"/>
      <w:szCs w:val="20"/>
    </w:rPr>
  </w:style>
  <w:style w:type="character" w:styleId="EndnoteCharacters">
    <w:name w:val="Endnote Characters"/>
    <w:uiPriority w:val="99"/>
    <w:semiHidden/>
    <w:unhideWhenUsed/>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rPr>
      <w:sz w:val="20"/>
      <w:szCs w:val="20"/>
    </w:rPr>
  </w:style>
  <w:style w:type="paragraph" w:styleId="Heading">
    <w:name w:val="Heading"/>
    <w:basedOn w:val="Normal"/>
    <w:next w:val="BodyTex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pPr>
      <w:suppressLineNumbers/>
      <w:spacing w:before="120" w:after="120"/>
    </w:pPr>
    <w:rPr>
      <w:rFonts w:cs="Noto Sans"/>
      <w:i/>
      <w:iCs/>
      <w:sz w:val="24"/>
      <w:szCs w:val="24"/>
    </w:rPr>
  </w:style>
  <w:style w:type="paragraph" w:styleId="Index">
    <w:name w:val="Index"/>
    <w:basedOn w:val="Normal"/>
    <w:pPr>
      <w:suppressLineNumbers/>
    </w:pPr>
    <w:rPr>
      <w:rFonts w:cs="Noto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auto"/>
      <w:kern w:val="0"/>
      <w:sz w:val="20"/>
      <w:szCs w:val="20"/>
      <w:lang w:val="en-AU" w:eastAsia="zh-CN" w:bidi="hi-IN"/>
    </w:rPr>
  </w:style>
  <w:style w:type="paragraph" w:styleId="ListParagraph">
    <w:name w:val="List Paragraph"/>
    <w:qFormat/>
    <w:pPr>
      <w:widowControl/>
      <w:bidi w:val="0"/>
      <w:spacing w:before="0" w:after="0"/>
      <w:jc w:val="start"/>
    </w:pPr>
    <w:rPr>
      <w:rFonts w:ascii="Calibri" w:hAnsi="Calibri" w:eastAsia="Calibri" w:cs="Calibri"/>
      <w:color w:val="auto"/>
      <w:kern w:val="0"/>
      <w:sz w:val="20"/>
      <w:szCs w:val="20"/>
      <w:lang w:val="en-AU"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LibreOffice/26.8.1.1$Linux_X86_64 LibreOffice_project/bf6ef2662401c7d6dce671ab4deb26ee0af3a7c1</Application>
  <AppVersion>15.0000</AppVersion>
  <Pages>11</Pages>
  <Words>2758</Words>
  <Characters>15004</Characters>
  <CharactersWithSpaces>17347</CharactersWithSpaces>
  <Paragraphs>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2026-10-12T23:18:00Z</dcterms:created>
  <dc:creator>Zoraxy Forensic Network Analysis</dc:creator>
  <dc:description/>
  <dc:language>en-AU</dc:language>
  <cp:lastModifiedBy/>
  <dcterms:modified xsi:type="dcterms:W3CDTF">2026-10-13T07:59:26Z</dcterms:modified>
  <cp:revision>3</cp:revision>
  <dc:subject/>
  <dc:title>Zoraxy Forensic Network Analysis</dc:title>
</cp:coreProperties>
</file>