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15C8" w14:textId="77777777" w:rsidR="005A2E5B" w:rsidRDefault="00000000">
      <w:pPr>
        <w:pStyle w:val="BillTitle"/>
      </w:pPr>
      <w:r>
        <w:t>EUROPEAN CONVENTION ON HUMAN RIGHTS (WITHDRAWAL AND MAINTANENCE OF WORKPLACE RIGHTS) BILL</w:t>
      </w:r>
    </w:p>
    <w:p w14:paraId="2D07468A" w14:textId="77777777" w:rsidR="005A2E5B" w:rsidRDefault="00000000">
      <w:pPr>
        <w:pStyle w:val="DraftNote"/>
      </w:pPr>
      <w:r>
        <w:t>[Draft copy]</w:t>
      </w:r>
    </w:p>
    <w:p w14:paraId="0B29EE68" w14:textId="77777777" w:rsidR="005A2E5B" w:rsidRDefault="00000000">
      <w:pPr>
        <w:pStyle w:val="PresentedBy"/>
      </w:pPr>
      <w:r>
        <w:t>Presented by Michael C R Reiners</w:t>
      </w:r>
    </w:p>
    <w:p w14:paraId="62ABD030" w14:textId="77777777" w:rsidR="005A2E5B" w:rsidRDefault="00000000">
      <w:pPr>
        <w:pStyle w:val="ABillTo"/>
      </w:pPr>
      <w:r>
        <w:t>A BILL TO</w:t>
      </w:r>
    </w:p>
    <w:p w14:paraId="745EBB6B" w14:textId="77777777" w:rsidR="005A2E5B" w:rsidRDefault="00000000" w:rsidP="00AC2F60">
      <w:pPr>
        <w:pStyle w:val="LongTitle"/>
      </w:pPr>
      <w:r>
        <w:t>withdraw the United Kingdom from the European Convention on Human Rights; to make provision about interim measures; to repeal the Human Rights Act 1998; and to make provision for certain workplace rights.</w:t>
      </w:r>
    </w:p>
    <w:p w14:paraId="7148ECFB" w14:textId="77777777" w:rsidR="005A2E5B" w:rsidRDefault="00000000" w:rsidP="00AC2F60">
      <w:pPr>
        <w:pStyle w:val="Enacting"/>
        <w:jc w:val="center"/>
      </w:pPr>
      <w:r>
        <w:t>Be it enacted by the King’s most Excellent Majesty, by and with the advice and consent of the Lords Spiritual and Temporal, and Commons, in this present Parliament assembled, and by the authority of the same, as follows:</w:t>
      </w:r>
    </w:p>
    <w:p w14:paraId="15B855CB" w14:textId="77777777" w:rsidR="005A2E5B" w:rsidRDefault="005A2E5B">
      <w:pPr>
        <w:sectPr w:rsidR="005A2E5B">
          <w:pgSz w:w="11906" w:h="16838"/>
          <w:pgMar w:top="1417" w:right="1417" w:bottom="1417" w:left="1701" w:header="709" w:footer="709" w:gutter="0"/>
          <w:cols w:space="720"/>
          <w:docGrid w:linePitch="360"/>
        </w:sectPr>
      </w:pPr>
    </w:p>
    <w:p w14:paraId="5BC002EB" w14:textId="77777777" w:rsidR="005A2E5B" w:rsidRDefault="00000000">
      <w:pPr>
        <w:pStyle w:val="ContentsHeading"/>
      </w:pPr>
      <w:r>
        <w:lastRenderedPageBreak/>
        <w:t>CONTENTS</w:t>
      </w:r>
    </w:p>
    <w:p w14:paraId="703CD7B8" w14:textId="77777777" w:rsidR="005A2E5B" w:rsidRDefault="00000000">
      <w:pPr>
        <w:pStyle w:val="ContentsClause"/>
      </w:pPr>
      <w:r>
        <w:t>1 Withdrawal from the Convention</w:t>
      </w:r>
    </w:p>
    <w:p w14:paraId="692CB2B0" w14:textId="77777777" w:rsidR="005A2E5B" w:rsidRDefault="00000000">
      <w:pPr>
        <w:pStyle w:val="ContentsClause"/>
      </w:pPr>
      <w:r>
        <w:t>2 Effect in domestic law</w:t>
      </w:r>
    </w:p>
    <w:p w14:paraId="72D00C16" w14:textId="77777777" w:rsidR="005A2E5B" w:rsidRDefault="00000000">
      <w:pPr>
        <w:pStyle w:val="ContentsClause"/>
      </w:pPr>
      <w:r>
        <w:t>3 Interim measures</w:t>
      </w:r>
    </w:p>
    <w:p w14:paraId="326C9563" w14:textId="77777777" w:rsidR="005A2E5B" w:rsidRDefault="00000000">
      <w:pPr>
        <w:pStyle w:val="ContentsClause"/>
      </w:pPr>
      <w:r>
        <w:t>4 Workplace rights</w:t>
      </w:r>
    </w:p>
    <w:p w14:paraId="0AABD84D" w14:textId="77777777" w:rsidR="005A2E5B" w:rsidRDefault="00000000">
      <w:pPr>
        <w:pStyle w:val="ContentsClause"/>
      </w:pPr>
      <w:r>
        <w:t>5 Consequential provision</w:t>
      </w:r>
    </w:p>
    <w:p w14:paraId="7D95B392" w14:textId="77777777" w:rsidR="005A2E5B" w:rsidRDefault="00000000">
      <w:pPr>
        <w:pStyle w:val="ContentsClause"/>
      </w:pPr>
      <w:r>
        <w:t>6 Constitutional status and protected enactments</w:t>
      </w:r>
    </w:p>
    <w:p w14:paraId="7316F1AE" w14:textId="77777777" w:rsidR="005A2E5B" w:rsidRDefault="00000000">
      <w:pPr>
        <w:pStyle w:val="ContentsClause"/>
      </w:pPr>
      <w:r>
        <w:t>7 Extent, commencement and short title</w:t>
      </w:r>
    </w:p>
    <w:p w14:paraId="524293F9" w14:textId="77777777" w:rsidR="005A2E5B" w:rsidRDefault="00000000">
      <w:pPr>
        <w:pStyle w:val="ContentsSchedules"/>
      </w:pPr>
      <w:r>
        <w:t>SCHEDULES</w:t>
      </w:r>
    </w:p>
    <w:p w14:paraId="5F33A9B9" w14:textId="77777777" w:rsidR="005A2E5B" w:rsidRDefault="00000000">
      <w:pPr>
        <w:pStyle w:val="ContentsClause"/>
      </w:pPr>
      <w:r>
        <w:t>SCHEDULE 2 Workplace rights</w:t>
      </w:r>
    </w:p>
    <w:p w14:paraId="5C02F81F" w14:textId="77777777" w:rsidR="005A2E5B" w:rsidRDefault="00000000">
      <w:r>
        <w:br w:type="page"/>
      </w:r>
    </w:p>
    <w:p w14:paraId="78F595E6" w14:textId="77777777" w:rsidR="00000000" w:rsidRDefault="00000000">
      <w:pPr>
        <w:pStyle w:val="ClauseHeading"/>
        <w:keepNext/>
      </w:pPr>
      <w:r>
        <w:lastRenderedPageBreak/>
        <w:t>1 Withdrawal from the Convention</w:t>
      </w:r>
    </w:p>
    <w:p w14:paraId="00849431" w14:textId="77777777" w:rsidR="00000000" w:rsidRDefault="00000000">
      <w:pPr>
        <w:pStyle w:val="BodyText0"/>
        <w:ind w:left="432"/>
      </w:pPr>
      <w:r>
        <w:t>(1) The Secretary of State must, within 7 days beginning with the day on which this Act is passed, give notice under Article 58 of the Convention of the United Kingdom’s denunciation of the Convention.</w:t>
      </w:r>
    </w:p>
    <w:p w14:paraId="7935C42F" w14:textId="77777777" w:rsidR="00000000" w:rsidRDefault="00000000">
      <w:pPr>
        <w:pStyle w:val="BodyText0"/>
        <w:ind w:left="432"/>
      </w:pPr>
      <w:r>
        <w:t>(2) “The Convention” means the Convention for the Protection of Human Rights and Fundamental Freedoms, signed at Rome on 4 November 1950.</w:t>
      </w:r>
    </w:p>
    <w:p w14:paraId="1EB43B9C" w14:textId="77777777" w:rsidR="00000000" w:rsidRDefault="00000000">
      <w:pPr>
        <w:pStyle w:val="BodyText0"/>
        <w:ind w:left="432"/>
      </w:pPr>
      <w:r>
        <w:t>(3) In this Act “withdrawal day” means the day on which the denunciation given under subsection (1) takes effect.</w:t>
      </w:r>
    </w:p>
    <w:p w14:paraId="035F8A58" w14:textId="77777777" w:rsidR="00000000" w:rsidRDefault="00000000">
      <w:pPr>
        <w:pStyle w:val="BodyText0"/>
        <w:ind w:left="432"/>
      </w:pPr>
      <w:r>
        <w:t>(4) No court or tribunal may question the giving of notice under subsection (1) or grant relief which would have the effect of preventing or delaying its giving.</w:t>
      </w:r>
    </w:p>
    <w:p w14:paraId="034B0E11" w14:textId="77777777" w:rsidR="00000000" w:rsidRDefault="00000000">
      <w:pPr>
        <w:pStyle w:val="ClauseHeading"/>
        <w:keepNext/>
      </w:pPr>
      <w:r>
        <w:t>2 Effect in domestic law</w:t>
      </w:r>
    </w:p>
    <w:p w14:paraId="71674936" w14:textId="77777777" w:rsidR="00000000" w:rsidRDefault="00000000">
      <w:pPr>
        <w:pStyle w:val="BodyText0"/>
        <w:ind w:left="432"/>
      </w:pPr>
      <w:r>
        <w:t>(1) On and after withdrawal day, the Convention has no effect in domestic law.</w:t>
      </w:r>
    </w:p>
    <w:p w14:paraId="22708ED0" w14:textId="77777777" w:rsidR="00000000" w:rsidRDefault="00000000">
      <w:pPr>
        <w:pStyle w:val="BodyText0"/>
        <w:ind w:left="432"/>
      </w:pPr>
      <w:r>
        <w:t>(2) The Human Rights Act 1998 is repealed on withdrawal day.</w:t>
      </w:r>
    </w:p>
    <w:p w14:paraId="53238539" w14:textId="77777777" w:rsidR="00000000" w:rsidRDefault="00000000">
      <w:pPr>
        <w:pStyle w:val="BodyText0"/>
        <w:ind w:left="432"/>
      </w:pPr>
      <w:r>
        <w:t>(3) A court or tribunal may not have regard to—</w:t>
      </w:r>
    </w:p>
    <w:p w14:paraId="14BAB660" w14:textId="77777777" w:rsidR="00000000" w:rsidRDefault="00000000">
      <w:pPr>
        <w:pStyle w:val="BodyText0"/>
        <w:ind w:left="576"/>
      </w:pPr>
      <w:r>
        <w:t>(a) the Convention, or</w:t>
      </w:r>
    </w:p>
    <w:p w14:paraId="59F32C1B" w14:textId="77777777" w:rsidR="00000000" w:rsidRDefault="00000000">
      <w:pPr>
        <w:pStyle w:val="BodyText0"/>
        <w:ind w:left="576"/>
      </w:pPr>
      <w:r>
        <w:t>(b) any judgment, decision or advisory opinion of the European Court of Human Rights,</w:t>
      </w:r>
    </w:p>
    <w:p w14:paraId="60F00097" w14:textId="77777777" w:rsidR="00000000" w:rsidRDefault="00000000">
      <w:pPr>
        <w:pStyle w:val="BodyText0"/>
        <w:ind w:left="432"/>
      </w:pPr>
      <w:r>
        <w:t>in determining any question arising on or after withdrawal day.</w:t>
      </w:r>
    </w:p>
    <w:p w14:paraId="72539990" w14:textId="77777777" w:rsidR="00000000" w:rsidRDefault="00000000">
      <w:pPr>
        <w:pStyle w:val="BodyText0"/>
        <w:ind w:left="432"/>
      </w:pPr>
      <w:r>
        <w:t>(4) Subsection (3) does not prevent a court or tribunal from having regard to such material as an historical fact.</w:t>
      </w:r>
    </w:p>
    <w:p w14:paraId="0C371B0F" w14:textId="77777777" w:rsidR="00000000" w:rsidRDefault="00000000">
      <w:pPr>
        <w:pStyle w:val="ClauseHeading"/>
        <w:keepNext/>
      </w:pPr>
      <w:r>
        <w:t>3 Interim measures</w:t>
      </w:r>
    </w:p>
    <w:p w14:paraId="3915B7BC" w14:textId="77777777" w:rsidR="00000000" w:rsidRDefault="00000000">
      <w:pPr>
        <w:pStyle w:val="BodyText0"/>
        <w:ind w:left="432"/>
      </w:pPr>
      <w:r>
        <w:t>(1) An interim measure indicated by the European Court of Human Rights (including under Rule 39 of the Rules of Court) has no effect in domestic law.</w:t>
      </w:r>
    </w:p>
    <w:p w14:paraId="1136845C" w14:textId="77777777" w:rsidR="00000000" w:rsidRDefault="00000000">
      <w:pPr>
        <w:pStyle w:val="BodyText0"/>
        <w:ind w:left="432"/>
      </w:pPr>
      <w:r>
        <w:t>(2) No court or tribunal may grant relief which has the purpose or effect of giving effect, directly or indirectly, to an interim measure described in subsection (1).</w:t>
      </w:r>
    </w:p>
    <w:p w14:paraId="738087D3" w14:textId="77777777" w:rsidR="00000000" w:rsidRDefault="00000000">
      <w:pPr>
        <w:pStyle w:val="BodyText0"/>
        <w:ind w:left="432"/>
      </w:pPr>
      <w:r>
        <w:t>(3) Subsection (2) does not prevent a court or tribunal granting relief on a ground that is independent of any interim measure.</w:t>
      </w:r>
    </w:p>
    <w:p w14:paraId="24E791A8" w14:textId="77777777" w:rsidR="00000000" w:rsidRDefault="00000000">
      <w:pPr>
        <w:pStyle w:val="ClauseHeading"/>
        <w:keepNext/>
      </w:pPr>
      <w:r>
        <w:t>4 Workplace rights</w:t>
      </w:r>
    </w:p>
    <w:p w14:paraId="62CB9200" w14:textId="77777777" w:rsidR="00000000" w:rsidRDefault="00000000">
      <w:pPr>
        <w:pStyle w:val="BodyText0"/>
        <w:ind w:left="432"/>
      </w:pPr>
      <w:r>
        <w:t>(1) Schedule 2 (workplace rights) has effect.</w:t>
      </w:r>
    </w:p>
    <w:p w14:paraId="36ACFE24" w14:textId="77777777" w:rsidR="00000000" w:rsidRDefault="00000000">
      <w:pPr>
        <w:pStyle w:val="BodyText0"/>
        <w:ind w:left="432"/>
      </w:pPr>
      <w:r>
        <w:t>(2) Schedule 2 is to be read consistently with the Free Speech (Restoration) Act 2026; and if there is an unavoidable inconsistency, the Free Speech (Restoration) Act 2026 prevails.</w:t>
      </w:r>
    </w:p>
    <w:p w14:paraId="259E7363" w14:textId="77777777" w:rsidR="00000000" w:rsidRDefault="00000000">
      <w:pPr>
        <w:pStyle w:val="ClauseHeading"/>
        <w:keepNext/>
      </w:pPr>
      <w:r>
        <w:t>5 Consequential provision</w:t>
      </w:r>
    </w:p>
    <w:p w14:paraId="4ABD5B4E" w14:textId="77777777" w:rsidR="00000000" w:rsidRDefault="00000000">
      <w:pPr>
        <w:pStyle w:val="BodyText0"/>
        <w:ind w:left="432"/>
      </w:pPr>
      <w:r>
        <w:t>(1) The Secretary of State may by regulations make such consequential, transitional, transitory or saving provision as the Secretary of State considers appropriate in connection with this Act.</w:t>
      </w:r>
    </w:p>
    <w:p w14:paraId="5D649DF8" w14:textId="77777777" w:rsidR="00000000" w:rsidRDefault="00000000">
      <w:pPr>
        <w:pStyle w:val="BodyText0"/>
        <w:ind w:left="432"/>
      </w:pPr>
      <w:r>
        <w:t>(2) Regulations under this section may amend, repeal or revoke an enactment, but may not amend or repeal—</w:t>
      </w:r>
    </w:p>
    <w:p w14:paraId="780D1CBD" w14:textId="77777777" w:rsidR="00000000" w:rsidRDefault="00000000">
      <w:pPr>
        <w:pStyle w:val="BodyText0"/>
        <w:ind w:left="576"/>
      </w:pPr>
      <w:r>
        <w:t>(a) the Free Speech (Restoration) Act 2026, or</w:t>
      </w:r>
    </w:p>
    <w:p w14:paraId="2A148336" w14:textId="77777777" w:rsidR="00000000" w:rsidRDefault="00000000">
      <w:pPr>
        <w:pStyle w:val="BodyText0"/>
        <w:ind w:left="576"/>
      </w:pPr>
      <w:r>
        <w:lastRenderedPageBreak/>
        <w:t>(b) any other Restoration Act (within the meaning given by section 6).</w:t>
      </w:r>
    </w:p>
    <w:p w14:paraId="6FFA6E87" w14:textId="77777777" w:rsidR="00000000" w:rsidRDefault="00000000">
      <w:pPr>
        <w:pStyle w:val="BodyText0"/>
        <w:ind w:left="432"/>
      </w:pPr>
      <w:r>
        <w:t>(3) Regulations under this section are subject to the affirmative resolution procedure if they amend, repeal or revoke primary legislation.</w:t>
      </w:r>
    </w:p>
    <w:p w14:paraId="756F2EEB" w14:textId="77777777" w:rsidR="00000000" w:rsidRDefault="00000000">
      <w:pPr>
        <w:pStyle w:val="ClauseHeading"/>
        <w:keepNext/>
      </w:pPr>
      <w:r>
        <w:t>6 Constitutional status and protected enactments</w:t>
      </w:r>
    </w:p>
    <w:p w14:paraId="4567F391" w14:textId="77777777" w:rsidR="00000000" w:rsidRDefault="00000000">
      <w:pPr>
        <w:pStyle w:val="BodyText0"/>
        <w:ind w:left="432"/>
      </w:pPr>
      <w:r>
        <w:t>(1) This Act is a constitutional statute.</w:t>
      </w:r>
    </w:p>
    <w:p w14:paraId="3FF7E7CE" w14:textId="77777777" w:rsidR="00000000" w:rsidRDefault="00000000">
      <w:pPr>
        <w:pStyle w:val="BodyText0"/>
        <w:ind w:left="432"/>
      </w:pPr>
      <w:r>
        <w:t>(2) This Act may not be repealed or amended by implication.</w:t>
      </w:r>
    </w:p>
    <w:p w14:paraId="2484936B" w14:textId="77777777" w:rsidR="00000000" w:rsidRDefault="00000000">
      <w:pPr>
        <w:pStyle w:val="BodyText0"/>
        <w:ind w:left="432"/>
      </w:pPr>
      <w:r>
        <w:t>(3) An enactment may repeal or amend this Act only if it expressly—</w:t>
      </w:r>
    </w:p>
    <w:p w14:paraId="0D183196" w14:textId="77777777" w:rsidR="00000000" w:rsidRDefault="00000000">
      <w:pPr>
        <w:pStyle w:val="BodyText0"/>
        <w:ind w:left="576"/>
      </w:pPr>
      <w:r>
        <w:t>(a) states that it repeals or amends this Act, and</w:t>
      </w:r>
    </w:p>
    <w:p w14:paraId="7433066E" w14:textId="77777777" w:rsidR="00000000" w:rsidRDefault="00000000">
      <w:pPr>
        <w:pStyle w:val="BodyText0"/>
        <w:ind w:left="576"/>
      </w:pPr>
      <w:r>
        <w:t>(b) identifies the provision repealed or amended.</w:t>
      </w:r>
    </w:p>
    <w:p w14:paraId="648A99FA" w14:textId="77777777" w:rsidR="00000000" w:rsidRDefault="00000000">
      <w:pPr>
        <w:pStyle w:val="BodyText0"/>
        <w:ind w:left="432"/>
      </w:pPr>
      <w:r>
        <w:t>(4) In this Act “Restoration Act” means—</w:t>
      </w:r>
    </w:p>
    <w:p w14:paraId="3441FAF1" w14:textId="77777777" w:rsidR="00000000" w:rsidRDefault="00000000">
      <w:pPr>
        <w:pStyle w:val="BodyText0"/>
        <w:ind w:left="576"/>
      </w:pPr>
      <w:r>
        <w:t>(a) the Bonfire of the Quangocracy Act 2026,</w:t>
      </w:r>
    </w:p>
    <w:p w14:paraId="6244B156" w14:textId="77777777" w:rsidR="00000000" w:rsidRDefault="00000000">
      <w:pPr>
        <w:pStyle w:val="BodyText0"/>
        <w:ind w:left="576"/>
      </w:pPr>
      <w:r>
        <w:t>(b) the Free Speech (Restoration) Act 2026,</w:t>
      </w:r>
    </w:p>
    <w:p w14:paraId="00541C85" w14:textId="77777777" w:rsidR="00000000" w:rsidRDefault="00000000">
      <w:pPr>
        <w:pStyle w:val="BodyText0"/>
        <w:ind w:left="576"/>
      </w:pPr>
      <w:r>
        <w:t>(c) the British Indigeneity and Citizenship Act 2026,</w:t>
      </w:r>
    </w:p>
    <w:p w14:paraId="35D6B97D" w14:textId="77777777" w:rsidR="00000000" w:rsidRDefault="00000000">
      <w:pPr>
        <w:pStyle w:val="BodyText0"/>
        <w:ind w:left="576"/>
      </w:pPr>
      <w:r>
        <w:t>(d) the Oblivion Act 2026, and</w:t>
      </w:r>
    </w:p>
    <w:p w14:paraId="0996B978" w14:textId="77777777" w:rsidR="00000000" w:rsidRDefault="00000000">
      <w:pPr>
        <w:pStyle w:val="BodyText0"/>
        <w:ind w:left="576"/>
      </w:pPr>
      <w:r>
        <w:t>(e) this Act.</w:t>
      </w:r>
    </w:p>
    <w:p w14:paraId="7655F646" w14:textId="77777777" w:rsidR="00000000" w:rsidRDefault="00000000">
      <w:pPr>
        <w:pStyle w:val="BodyText0"/>
        <w:ind w:left="432"/>
      </w:pPr>
      <w:r>
        <w:t>(5) A Restoration Act is to be construed, so far as possible, as compatible with the other Restoration Acts.</w:t>
      </w:r>
    </w:p>
    <w:p w14:paraId="5AD5D8C9" w14:textId="77777777" w:rsidR="00000000" w:rsidRDefault="00000000">
      <w:pPr>
        <w:pStyle w:val="BodyText0"/>
        <w:ind w:left="432"/>
      </w:pPr>
      <w:r>
        <w:t>(6) If there is an unavoidable inconsistency between provisions of Restoration Acts, the more specific provision prevails.</w:t>
      </w:r>
    </w:p>
    <w:p w14:paraId="58EA6C83" w14:textId="77777777" w:rsidR="00000000" w:rsidRDefault="00000000">
      <w:pPr>
        <w:pStyle w:val="ClauseHeading"/>
        <w:keepNext/>
      </w:pPr>
      <w:r>
        <w:t>7 Extent, commencement and short title</w:t>
      </w:r>
    </w:p>
    <w:p w14:paraId="3451C118" w14:textId="77777777" w:rsidR="00000000" w:rsidRDefault="00000000">
      <w:pPr>
        <w:pStyle w:val="BodyText0"/>
        <w:ind w:left="432"/>
      </w:pPr>
      <w:r>
        <w:t>(1) This Act extends to the whole of the United Kingdom.</w:t>
      </w:r>
    </w:p>
    <w:p w14:paraId="3F6997F3" w14:textId="77777777" w:rsidR="00000000" w:rsidRDefault="00000000">
      <w:pPr>
        <w:pStyle w:val="BodyText0"/>
        <w:ind w:left="432"/>
      </w:pPr>
      <w:r>
        <w:t>(2) Sections 1 to 6 and Schedule 2 come into force on the day on which this Act is passed.</w:t>
      </w:r>
    </w:p>
    <w:p w14:paraId="50F72423" w14:textId="77777777" w:rsidR="00000000" w:rsidRDefault="00000000">
      <w:pPr>
        <w:pStyle w:val="BodyText0"/>
        <w:ind w:left="432"/>
      </w:pPr>
      <w:r>
        <w:t>(3) This Act may be cited as the European Convention on Human Rights (Withdrawal and Workplace Rights) Act 2026.</w:t>
      </w:r>
    </w:p>
    <w:p w14:paraId="34322AE8" w14:textId="77777777" w:rsidR="00000000" w:rsidRDefault="00000000">
      <w:r>
        <w:br w:type="page"/>
      </w:r>
    </w:p>
    <w:p w14:paraId="03A4D81B" w14:textId="77777777" w:rsidR="00000000" w:rsidRDefault="00000000">
      <w:pPr>
        <w:pStyle w:val="ScheduleNum"/>
        <w:keepNext/>
        <w:pageBreakBefore/>
      </w:pPr>
      <w:r>
        <w:lastRenderedPageBreak/>
        <w:t>SCHEDULE 2</w:t>
      </w:r>
    </w:p>
    <w:p w14:paraId="660344C5" w14:textId="77777777" w:rsidR="00000000" w:rsidRDefault="00000000">
      <w:pPr>
        <w:pStyle w:val="ScheduleTitle"/>
        <w:keepNext/>
      </w:pPr>
      <w:r>
        <w:t>Workplace rights</w:t>
      </w:r>
    </w:p>
    <w:p w14:paraId="267225EA" w14:textId="77777777" w:rsidR="00000000" w:rsidRDefault="00000000">
      <w:pPr>
        <w:pStyle w:val="ScheduleTitle"/>
        <w:keepNext/>
      </w:pPr>
      <w:r>
        <w:t>Section 4</w:t>
      </w:r>
    </w:p>
    <w:p w14:paraId="04254E83" w14:textId="77777777" w:rsidR="00000000" w:rsidRDefault="00000000"/>
    <w:p w14:paraId="2641BC87" w14:textId="77777777" w:rsidR="00000000" w:rsidRPr="00DA441C" w:rsidRDefault="00000000">
      <w:pPr>
        <w:pStyle w:val="ClauseHeading"/>
        <w:keepNext/>
        <w:rPr>
          <w:bCs/>
        </w:rPr>
      </w:pPr>
      <w:r>
        <w:t>1 Interpretation</w:t>
      </w:r>
    </w:p>
    <w:p w14:paraId="42EA3EB7" w14:textId="77777777" w:rsidR="00000000" w:rsidRDefault="00000000">
      <w:pPr>
        <w:pStyle w:val="BodyText0"/>
        <w:ind w:left="432"/>
      </w:pPr>
      <w:r>
        <w:t>(1) In this Schedule—</w:t>
      </w:r>
    </w:p>
    <w:p w14:paraId="2F74CABF" w14:textId="77777777" w:rsidR="00000000" w:rsidRDefault="00000000">
      <w:pPr>
        <w:pStyle w:val="ScheduleTitle"/>
        <w:keepNext/>
        <w:ind w:left="360"/>
      </w:pPr>
      <w:r>
        <w:t>“employer” means a person who employs or engages a worker;</w:t>
      </w:r>
    </w:p>
    <w:p w14:paraId="2E92DA2E" w14:textId="77777777" w:rsidR="00000000" w:rsidRDefault="00000000">
      <w:pPr>
        <w:pStyle w:val="BodyText0"/>
        <w:ind w:left="576"/>
      </w:pPr>
      <w:r>
        <w:t>“worker” includes an employee and any person who undertakes to perform work or services personally;</w:t>
      </w:r>
    </w:p>
    <w:p w14:paraId="52C8D38D" w14:textId="77777777" w:rsidR="00000000" w:rsidRDefault="00000000">
      <w:pPr>
        <w:pStyle w:val="BodyText0"/>
        <w:ind w:left="576"/>
      </w:pPr>
      <w:r>
        <w:t>“workplace” includes any place where work is done and any work-related communication (whether in person or by electronic means).</w:t>
      </w:r>
    </w:p>
    <w:p w14:paraId="7D68B4F1" w14:textId="77777777" w:rsidR="00000000" w:rsidRDefault="00000000">
      <w:pPr>
        <w:pStyle w:val="BodyText0"/>
        <w:ind w:left="432"/>
      </w:pPr>
      <w:r>
        <w:t>(2) References in this Schedule to a “group” include an individual.</w:t>
      </w:r>
    </w:p>
    <w:p w14:paraId="34F270E5" w14:textId="77777777" w:rsidR="00000000" w:rsidRDefault="00000000">
      <w:pPr>
        <w:pStyle w:val="BodyText0"/>
        <w:ind w:left="432"/>
      </w:pPr>
      <w:r>
        <w:t>(3) In this Schedule “disdainful detriment” means conduct which—</w:t>
      </w:r>
    </w:p>
    <w:p w14:paraId="53E1D808" w14:textId="77777777" w:rsidR="00000000" w:rsidRDefault="00000000">
      <w:pPr>
        <w:pStyle w:val="BodyText0"/>
        <w:ind w:left="576"/>
      </w:pPr>
      <w:r>
        <w:t>(a) subjects a worker to a detriment, or creates an intimidating, hostile, degrading, humiliating or offensive working environment, and</w:t>
      </w:r>
    </w:p>
    <w:p w14:paraId="1A2998C1" w14:textId="77777777" w:rsidR="00000000" w:rsidRDefault="00000000">
      <w:pPr>
        <w:pStyle w:val="BodyText0"/>
        <w:ind w:left="576"/>
      </w:pPr>
      <w:r>
        <w:t>(b) a reasonable observer, having regard to all the circumstances, would deem the conduct to be, and to be motivated by, specific disdain for a group, without reason.</w:t>
      </w:r>
    </w:p>
    <w:p w14:paraId="48D5E287" w14:textId="77777777" w:rsidR="00000000" w:rsidRDefault="00000000">
      <w:pPr>
        <w:pStyle w:val="BodyText0"/>
        <w:ind w:left="432"/>
      </w:pPr>
      <w:r>
        <w:t>(4) In determining whether conduct is “without reason”, regard is to be had to—</w:t>
      </w:r>
    </w:p>
    <w:p w14:paraId="50603AA5" w14:textId="77777777" w:rsidR="00000000" w:rsidRDefault="00000000">
      <w:pPr>
        <w:pStyle w:val="BodyText0"/>
        <w:ind w:left="576"/>
      </w:pPr>
      <w:r>
        <w:t>(a) the operational requirements of the workplace, and</w:t>
      </w:r>
    </w:p>
    <w:p w14:paraId="16B6B179" w14:textId="77777777" w:rsidR="00000000" w:rsidRDefault="00000000">
      <w:pPr>
        <w:pStyle w:val="BodyText0"/>
        <w:ind w:left="576"/>
      </w:pPr>
      <w:r>
        <w:t>(b) the rights protected by the Free Speech (Restoration) Act 2026.</w:t>
      </w:r>
    </w:p>
    <w:p w14:paraId="79C32726" w14:textId="77777777" w:rsidR="00000000" w:rsidRPr="00DA441C" w:rsidRDefault="00000000">
      <w:pPr>
        <w:pStyle w:val="ClauseHeading"/>
        <w:keepNext/>
        <w:rPr>
          <w:bCs/>
        </w:rPr>
      </w:pPr>
      <w:r>
        <w:t>2 Freedom of speech and belief at work</w:t>
      </w:r>
    </w:p>
    <w:p w14:paraId="4EC1E5D9" w14:textId="77777777" w:rsidR="00000000" w:rsidRDefault="00000000">
      <w:pPr>
        <w:pStyle w:val="BodyText0"/>
        <w:ind w:left="432"/>
      </w:pPr>
      <w:r>
        <w:t>(1) A worker must not be subjected to any detriment by reason only of conduct which is protected by the Free Speech (Restoration) Act 2026.</w:t>
      </w:r>
    </w:p>
    <w:p w14:paraId="7F9B9836" w14:textId="77777777" w:rsidR="00000000" w:rsidRDefault="00000000">
      <w:pPr>
        <w:pStyle w:val="BodyText0"/>
        <w:ind w:left="432"/>
      </w:pPr>
      <w:r>
        <w:t>(2) Nothing in this Schedule authorises an employer to require or compel a worker to state, affirm or deny a belief or opinion.</w:t>
      </w:r>
    </w:p>
    <w:p w14:paraId="0F2B3C6B" w14:textId="77777777" w:rsidR="00000000" w:rsidRDefault="00000000">
      <w:pPr>
        <w:pStyle w:val="BodyText0"/>
        <w:ind w:left="432"/>
      </w:pPr>
      <w:r>
        <w:t>(3) No order or award under this Schedule may require an employer to restrict speech which is protected by the Free Speech (Restoration) Act 2026.</w:t>
      </w:r>
    </w:p>
    <w:p w14:paraId="08B97E76" w14:textId="77777777" w:rsidR="00000000" w:rsidRPr="00DA441C" w:rsidRDefault="00000000">
      <w:pPr>
        <w:pStyle w:val="ClauseHeading"/>
        <w:keepNext/>
        <w:rPr>
          <w:bCs/>
        </w:rPr>
      </w:pPr>
      <w:r>
        <w:t>3 Right not to suffer disdainful detriment</w:t>
      </w:r>
    </w:p>
    <w:p w14:paraId="4F352113" w14:textId="77777777" w:rsidR="00000000" w:rsidRDefault="00000000">
      <w:pPr>
        <w:pStyle w:val="BodyText0"/>
        <w:ind w:left="432"/>
      </w:pPr>
      <w:r>
        <w:t>(1) A worker has the right not to be subjected to disdainful detriment.</w:t>
      </w:r>
    </w:p>
    <w:p w14:paraId="4442B62F" w14:textId="77777777" w:rsidR="00000000" w:rsidRDefault="00000000">
      <w:pPr>
        <w:pStyle w:val="BodyText0"/>
        <w:ind w:left="432"/>
      </w:pPr>
      <w:r>
        <w:t>(2) An employer is liable for disdainful detriment done by another worker in the course of employment unless the employer took all reasonable steps to prevent it.</w:t>
      </w:r>
    </w:p>
    <w:p w14:paraId="4E541293" w14:textId="77777777" w:rsidR="00000000" w:rsidRDefault="00000000">
      <w:pPr>
        <w:pStyle w:val="BodyText0"/>
        <w:ind w:left="432"/>
      </w:pPr>
      <w:r>
        <w:t>(3) A worker who is subjected to disdainful detriment may bring a claim in the employment tribunal.</w:t>
      </w:r>
    </w:p>
    <w:p w14:paraId="0A5961A7" w14:textId="77777777" w:rsidR="00000000" w:rsidRPr="00DA441C" w:rsidRDefault="00000000">
      <w:pPr>
        <w:pStyle w:val="ClauseHeading"/>
        <w:keepNext/>
        <w:rPr>
          <w:bCs/>
        </w:rPr>
      </w:pPr>
      <w:r>
        <w:lastRenderedPageBreak/>
        <w:t>4 Remedies</w:t>
      </w:r>
    </w:p>
    <w:p w14:paraId="22040BC0" w14:textId="77777777" w:rsidR="00000000" w:rsidRDefault="00000000">
      <w:pPr>
        <w:pStyle w:val="BodyText0"/>
        <w:ind w:left="432"/>
      </w:pPr>
      <w:r>
        <w:t>(1) Where the tribunal finds a breach of this Schedule it may grant such relief as it considers just, including—</w:t>
      </w:r>
    </w:p>
    <w:p w14:paraId="1043948D" w14:textId="77777777" w:rsidR="00000000" w:rsidRDefault="00000000">
      <w:pPr>
        <w:pStyle w:val="BodyText0"/>
        <w:ind w:left="576"/>
      </w:pPr>
      <w:r>
        <w:t>(a) a declaration, and</w:t>
      </w:r>
    </w:p>
    <w:p w14:paraId="0BA6A9DC" w14:textId="77777777" w:rsidR="00000000" w:rsidRDefault="00000000">
      <w:pPr>
        <w:pStyle w:val="BodyText0"/>
        <w:ind w:left="576"/>
      </w:pPr>
      <w:r>
        <w:t>(b) compensation.</w:t>
      </w:r>
    </w:p>
    <w:p w14:paraId="13CF1F16" w14:textId="77777777" w:rsidR="00000000" w:rsidRDefault="00000000">
      <w:pPr>
        <w:pStyle w:val="BodyText0"/>
        <w:ind w:left="432"/>
      </w:pPr>
      <w:r>
        <w:t>(2) Compensation may include compensation for injury to feelings.</w:t>
      </w:r>
    </w:p>
    <w:p w14:paraId="0BE85162" w14:textId="77777777" w:rsidR="00000000" w:rsidRDefault="00000000">
      <w:pPr>
        <w:pStyle w:val="BodyText0"/>
        <w:ind w:left="432"/>
      </w:pPr>
      <w:r>
        <w:t>(3) Proceedings must be brought before the end of the period of 3 months beginning with the date of the act or omission complained of, subject to any extension permitted by tribunal rules.</w:t>
      </w:r>
    </w:p>
    <w:sectPr w:rsidR="009A2E91" w:rsidSect="00034616">
      <w:headerReference w:type="default" r:id="rId8"/>
      <w:footerReference w:type="default" r:id="rId9"/>
      <w:pgSz w:w="11906" w:h="16838"/>
      <w:pgMar w:top="1417" w:right="1417" w:bottom="1417" w:left="170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703C" w14:textId="77777777" w:rsidR="00F67311" w:rsidRDefault="00F67311">
      <w:pPr>
        <w:spacing w:line="240" w:lineRule="auto"/>
      </w:pPr>
      <w:r>
        <w:separator/>
      </w:r>
    </w:p>
  </w:endnote>
  <w:endnote w:type="continuationSeparator" w:id="0">
    <w:p w14:paraId="7B9F4AF9" w14:textId="77777777" w:rsidR="00F67311" w:rsidRDefault="00F67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9957" w14:textId="77777777" w:rsidR="005A2E5B" w:rsidRDefault="00000000">
    <w:pPr>
      <w:pStyle w:val="Footer"/>
      <w:jc w:val="center"/>
    </w:pPr>
    <w:r>
      <w:rPr>
        <w:sz w:val="18"/>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6293" w14:textId="77777777" w:rsidR="00F67311" w:rsidRDefault="00F67311">
      <w:pPr>
        <w:spacing w:line="240" w:lineRule="auto"/>
      </w:pPr>
      <w:r>
        <w:separator/>
      </w:r>
    </w:p>
  </w:footnote>
  <w:footnote w:type="continuationSeparator" w:id="0">
    <w:p w14:paraId="71870D85" w14:textId="77777777" w:rsidR="00F67311" w:rsidRDefault="00F67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2C29" w14:textId="77777777" w:rsidR="005A2E5B" w:rsidRDefault="00000000">
    <w:pPr>
      <w:pStyle w:val="Header"/>
      <w:jc w:val="center"/>
    </w:pPr>
    <w:r>
      <w:rPr>
        <w:i/>
        <w:sz w:val="18"/>
      </w:rPr>
      <w:t>EUROPEAN CONVENTION ON HUMAN RIGHTS (WITHDRAWAL AND MAINTANENCE OF WORKPLACE RIGHTS) BILL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5272295">
    <w:abstractNumId w:val="8"/>
  </w:num>
  <w:num w:numId="2" w16cid:durableId="1705983037">
    <w:abstractNumId w:val="6"/>
  </w:num>
  <w:num w:numId="3" w16cid:durableId="2001157836">
    <w:abstractNumId w:val="5"/>
  </w:num>
  <w:num w:numId="4" w16cid:durableId="1100955280">
    <w:abstractNumId w:val="4"/>
  </w:num>
  <w:num w:numId="5" w16cid:durableId="1163426581">
    <w:abstractNumId w:val="7"/>
  </w:num>
  <w:num w:numId="6" w16cid:durableId="335811204">
    <w:abstractNumId w:val="3"/>
  </w:num>
  <w:num w:numId="7" w16cid:durableId="477457211">
    <w:abstractNumId w:val="2"/>
  </w:num>
  <w:num w:numId="8" w16cid:durableId="745343115">
    <w:abstractNumId w:val="1"/>
  </w:num>
  <w:num w:numId="9" w16cid:durableId="203549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A2E5B"/>
    <w:rsid w:val="008D19AD"/>
    <w:rsid w:val="00AA1D8D"/>
    <w:rsid w:val="00AC2F60"/>
    <w:rsid w:val="00B47730"/>
    <w:rsid w:val="00CB0664"/>
    <w:rsid w:val="00F673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83204"/>
  <w14:defaultImageDpi w14:val="300"/>
  <w15:docId w15:val="{2ECCBAE3-763E-AD49-A65A-2861BEA1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pPr>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illTitle">
    <w:name w:val="BillTitle"/>
    <w:basedOn w:val="Normal"/>
    <w:pPr>
      <w:spacing w:after="120"/>
      <w:jc w:val="center"/>
    </w:pPr>
    <w:rPr>
      <w:b/>
      <w:sz w:val="40"/>
    </w:rPr>
  </w:style>
  <w:style w:type="paragraph" w:customStyle="1" w:styleId="DraftNote">
    <w:name w:val="DraftNote"/>
    <w:basedOn w:val="Normal"/>
    <w:pPr>
      <w:spacing w:after="240"/>
      <w:jc w:val="center"/>
    </w:pPr>
    <w:rPr>
      <w:i/>
      <w:sz w:val="24"/>
    </w:rPr>
  </w:style>
  <w:style w:type="paragraph" w:customStyle="1" w:styleId="PresentedBy">
    <w:name w:val="PresentedBy"/>
    <w:basedOn w:val="Normal"/>
    <w:pPr>
      <w:spacing w:after="360"/>
      <w:jc w:val="center"/>
    </w:pPr>
    <w:rPr>
      <w:sz w:val="24"/>
    </w:rPr>
  </w:style>
  <w:style w:type="paragraph" w:customStyle="1" w:styleId="ABillTo">
    <w:name w:val="ABillTo"/>
    <w:basedOn w:val="Normal"/>
    <w:pPr>
      <w:spacing w:before="120" w:after="120"/>
      <w:jc w:val="center"/>
    </w:pPr>
    <w:rPr>
      <w:b/>
      <w:sz w:val="24"/>
    </w:rPr>
  </w:style>
  <w:style w:type="paragraph" w:customStyle="1" w:styleId="LongTitle">
    <w:name w:val="LongTitle"/>
    <w:basedOn w:val="Normal"/>
    <w:pPr>
      <w:spacing w:after="360"/>
      <w:jc w:val="center"/>
    </w:pPr>
  </w:style>
  <w:style w:type="paragraph" w:customStyle="1" w:styleId="Enacting">
    <w:name w:val="Enacting"/>
    <w:basedOn w:val="Normal"/>
  </w:style>
  <w:style w:type="paragraph" w:customStyle="1" w:styleId="ContentsHeading">
    <w:name w:val="ContentsHeading"/>
    <w:basedOn w:val="Normal"/>
    <w:pPr>
      <w:spacing w:after="240"/>
      <w:jc w:val="center"/>
    </w:pPr>
    <w:rPr>
      <w:b/>
      <w:sz w:val="28"/>
    </w:rPr>
  </w:style>
  <w:style w:type="paragraph" w:customStyle="1" w:styleId="ContentsPart">
    <w:name w:val="ContentsPart"/>
    <w:basedOn w:val="Normal"/>
    <w:pPr>
      <w:spacing w:before="120" w:after="60"/>
    </w:pPr>
    <w:rPr>
      <w:b/>
    </w:rPr>
  </w:style>
  <w:style w:type="paragraph" w:customStyle="1" w:styleId="ContentsClause">
    <w:name w:val="ContentsClause"/>
    <w:basedOn w:val="Normal"/>
    <w:pPr>
      <w:ind w:left="432"/>
    </w:pPr>
  </w:style>
  <w:style w:type="paragraph" w:customStyle="1" w:styleId="ContentsSchedules">
    <w:name w:val="ContentsSchedules"/>
    <w:basedOn w:val="Normal"/>
    <w:pPr>
      <w:spacing w:before="240" w:after="60"/>
    </w:pPr>
    <w:rPr>
      <w:b/>
    </w:rPr>
  </w:style>
  <w:style w:type="paragraph" w:customStyle="1" w:styleId="PartNum">
    <w:name w:val="PartNum"/>
    <w:basedOn w:val="Normal"/>
    <w:pPr>
      <w:spacing w:before="240"/>
      <w:jc w:val="center"/>
    </w:pPr>
    <w:rPr>
      <w:b/>
      <w:sz w:val="24"/>
    </w:rPr>
  </w:style>
  <w:style w:type="paragraph" w:customStyle="1" w:styleId="PartTitle">
    <w:name w:val="PartTitle"/>
    <w:basedOn w:val="Normal"/>
    <w:pPr>
      <w:spacing w:after="240"/>
      <w:jc w:val="center"/>
    </w:pPr>
    <w:rPr>
      <w:b/>
      <w:sz w:val="24"/>
    </w:rPr>
  </w:style>
  <w:style w:type="paragraph" w:customStyle="1" w:styleId="ClauseHeading">
    <w:name w:val="ClauseHeading"/>
    <w:basedOn w:val="Normal"/>
    <w:pPr>
      <w:spacing w:before="240" w:after="120"/>
    </w:pPr>
    <w:rPr>
      <w:b/>
    </w:rPr>
  </w:style>
  <w:style w:type="paragraph" w:customStyle="1" w:styleId="ScheduleNum">
    <w:name w:val="ScheduleNum"/>
    <w:basedOn w:val="Normal"/>
    <w:pPr>
      <w:spacing w:before="240" w:after="60"/>
      <w:jc w:val="center"/>
    </w:pPr>
    <w:rPr>
      <w:b/>
      <w:sz w:val="24"/>
    </w:rPr>
  </w:style>
  <w:style w:type="paragraph" w:customStyle="1" w:styleId="ScheduleTitle">
    <w:name w:val="ScheduleTitle"/>
    <w:basedOn w:val="Normal"/>
    <w:pPr>
      <w:spacing w:after="240"/>
      <w:jc w:val="center"/>
    </w:pPr>
    <w:rPr>
      <w:b/>
      <w:sz w:val="24"/>
    </w:rPr>
  </w:style>
  <w:style w:type="paragraph" w:customStyle="1" w:styleId="BodyText0">
    <w:name w:val="BodyText"/>
    <w:basedOn w:val="Normal"/>
    <w:p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Reiners</cp:lastModifiedBy>
  <cp:revision>2</cp:revision>
  <dcterms:created xsi:type="dcterms:W3CDTF">2013-12-23T23:15:00Z</dcterms:created>
  <dcterms:modified xsi:type="dcterms:W3CDTF">2026-01-24T22:59:00Z</dcterms:modified>
  <cp:category/>
</cp:coreProperties>
</file>