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C44B" w14:textId="4A7A22E8" w:rsidR="00A16C33" w:rsidRPr="00E666E2" w:rsidRDefault="009D5677" w:rsidP="00A16C33">
      <w:pPr>
        <w:pStyle w:val="Heading1"/>
        <w:rPr>
          <w:lang w:val="el-GR"/>
        </w:rPr>
      </w:pPr>
      <w:bookmarkStart w:id="0" w:name="X3ad730dfe8e13d5bdbee61d36ad4f0db1f751c5"/>
      <w:r w:rsidRPr="009D5677">
        <w:rPr>
          <w:lang w:val="el-GR"/>
        </w:rPr>
        <w:t>Γιατί οι τιμές στο ελληνικό καλάθι δεν υποχωρούν – Ακρίβεια (2019–2025)</w:t>
      </w:r>
    </w:p>
    <w:p w14:paraId="516E34FB" w14:textId="77777777" w:rsidR="00A16C33" w:rsidRPr="00E666E2" w:rsidRDefault="00A16C33" w:rsidP="00A16C33">
      <w:pPr>
        <w:pStyle w:val="Heading2"/>
        <w:rPr>
          <w:lang w:val="el-GR"/>
        </w:rPr>
      </w:pPr>
      <w:bookmarkStart w:id="1" w:name="σκοπός-αρχεία"/>
      <w:r w:rsidRPr="00E666E2">
        <w:rPr>
          <w:lang w:val="el-GR"/>
        </w:rPr>
        <w:t>0) Σκοπός &amp; Αρχεία</w:t>
      </w:r>
    </w:p>
    <w:p w14:paraId="0BF362D2" w14:textId="77777777" w:rsidR="00A16C33" w:rsidRPr="00E666E2" w:rsidRDefault="00A16C33" w:rsidP="00A16C33">
      <w:pPr>
        <w:pStyle w:val="FirstParagraph"/>
        <w:rPr>
          <w:lang w:val="el-GR"/>
        </w:rPr>
      </w:pPr>
      <w:r w:rsidRPr="00E666E2">
        <w:rPr>
          <w:b/>
          <w:bCs/>
          <w:lang w:val="el-GR"/>
        </w:rPr>
        <w:t>Σκοπός.</w:t>
      </w:r>
      <w:r w:rsidRPr="00E666E2">
        <w:rPr>
          <w:lang w:val="el-GR"/>
        </w:rPr>
        <w:t xml:space="preserve"> Να τεκμηριώσουμε πλήρως τα αριθμητικά ευρήματα του κύριου άρθρου με παραπομπή στα φύλλα του </w:t>
      </w:r>
      <w:r>
        <w:t>Excel</w:t>
      </w:r>
      <w:r w:rsidRPr="00E666E2">
        <w:rPr>
          <w:lang w:val="el-GR"/>
        </w:rPr>
        <w:t xml:space="preserve"> και στα συμπληρωματικά </w:t>
      </w:r>
      <w:r>
        <w:t>baselines</w:t>
      </w:r>
      <w:r w:rsidRPr="00E666E2">
        <w:rPr>
          <w:lang w:val="el-GR"/>
        </w:rPr>
        <w:t xml:space="preserve"> από τη </w:t>
      </w:r>
      <w:proofErr w:type="spellStart"/>
      <w:r w:rsidRPr="00E666E2">
        <w:rPr>
          <w:lang w:val="el-GR"/>
        </w:rPr>
        <w:t>στοχευμένη</w:t>
      </w:r>
      <w:proofErr w:type="spellEnd"/>
      <w:r w:rsidRPr="00E666E2">
        <w:rPr>
          <w:lang w:val="el-GR"/>
        </w:rPr>
        <w:t xml:space="preserve"> έρευνα (</w:t>
      </w:r>
      <w:r>
        <w:t>deep</w:t>
      </w:r>
      <w:r w:rsidRPr="00E666E2">
        <w:rPr>
          <w:lang w:val="el-GR"/>
        </w:rPr>
        <w:t xml:space="preserve"> </w:t>
      </w:r>
      <w:r>
        <w:t>research</w:t>
      </w:r>
      <w:r w:rsidRPr="00E666E2">
        <w:rPr>
          <w:lang w:val="el-GR"/>
        </w:rPr>
        <w:t>).</w:t>
      </w:r>
    </w:p>
    <w:p w14:paraId="1322B968" w14:textId="77777777" w:rsidR="00A16C33" w:rsidRPr="00E666E2" w:rsidRDefault="00A16C33" w:rsidP="00A16C33">
      <w:pPr>
        <w:pStyle w:val="BodyText"/>
        <w:rPr>
          <w:lang w:val="el-GR"/>
        </w:rPr>
      </w:pPr>
      <w:r w:rsidRPr="00E666E2">
        <w:rPr>
          <w:b/>
          <w:bCs/>
          <w:lang w:val="el-GR"/>
        </w:rPr>
        <w:t>Κεντρικά αρχεία:</w:t>
      </w:r>
      <w:r w:rsidRPr="00E666E2">
        <w:rPr>
          <w:lang w:val="el-GR"/>
        </w:rPr>
        <w:t xml:space="preserve"> - </w:t>
      </w:r>
      <w:r>
        <w:rPr>
          <w:b/>
          <w:bCs/>
        </w:rPr>
        <w:t>Primary</w:t>
      </w:r>
      <w:r w:rsidRPr="00E666E2">
        <w:rPr>
          <w:b/>
          <w:bCs/>
          <w:lang w:val="el-GR"/>
        </w:rPr>
        <w:t xml:space="preserve"> </w:t>
      </w:r>
      <w:r>
        <w:rPr>
          <w:b/>
          <w:bCs/>
        </w:rPr>
        <w:t>workbook</w:t>
      </w:r>
      <w:r w:rsidRPr="00E666E2">
        <w:rPr>
          <w:b/>
          <w:bCs/>
          <w:lang w:val="el-GR"/>
        </w:rPr>
        <w:t>:</w:t>
      </w:r>
      <w:r w:rsidRPr="00E666E2">
        <w:rPr>
          <w:lang w:val="el-GR"/>
        </w:rPr>
        <w:t xml:space="preserve"> </w:t>
      </w:r>
      <w:r>
        <w:rPr>
          <w:rStyle w:val="VerbatimChar"/>
        </w:rPr>
        <w:t>Greece</w:t>
      </w:r>
      <w:r w:rsidRPr="00E666E2">
        <w:rPr>
          <w:rStyle w:val="VerbatimChar"/>
          <w:lang w:val="el-GR"/>
        </w:rPr>
        <w:t>_</w:t>
      </w:r>
      <w:r>
        <w:rPr>
          <w:rStyle w:val="VerbatimChar"/>
        </w:rPr>
        <w:t>Competition</w:t>
      </w:r>
      <w:r w:rsidRPr="00E666E2">
        <w:rPr>
          <w:rStyle w:val="VerbatimChar"/>
          <w:lang w:val="el-GR"/>
        </w:rPr>
        <w:t>_</w:t>
      </w:r>
      <w:r>
        <w:rPr>
          <w:rStyle w:val="VerbatimChar"/>
        </w:rPr>
        <w:t>Study</w:t>
      </w:r>
      <w:r w:rsidRPr="00E666E2">
        <w:rPr>
          <w:rStyle w:val="VerbatimChar"/>
          <w:lang w:val="el-GR"/>
        </w:rPr>
        <w:t>_</w:t>
      </w:r>
      <w:proofErr w:type="spellStart"/>
      <w:r>
        <w:rPr>
          <w:rStyle w:val="VerbatimChar"/>
        </w:rPr>
        <w:t>withCharts</w:t>
      </w:r>
      <w:proofErr w:type="spellEnd"/>
      <w:r w:rsidRPr="00E666E2">
        <w:rPr>
          <w:rStyle w:val="VerbatimChar"/>
          <w:lang w:val="el-GR"/>
        </w:rPr>
        <w:t>.</w:t>
      </w:r>
      <w:r>
        <w:rPr>
          <w:rStyle w:val="VerbatimChar"/>
        </w:rPr>
        <w:t>xlsx</w:t>
      </w:r>
      <w:r w:rsidRPr="00E666E2">
        <w:rPr>
          <w:lang w:val="el-GR"/>
        </w:rPr>
        <w:t xml:space="preserve"> (εφεξής </w:t>
      </w:r>
      <w:r>
        <w:rPr>
          <w:i/>
          <w:iCs/>
        </w:rPr>
        <w:t>Main</w:t>
      </w:r>
      <w:r w:rsidRPr="00E666E2">
        <w:rPr>
          <w:i/>
          <w:iCs/>
          <w:lang w:val="el-GR"/>
        </w:rPr>
        <w:t xml:space="preserve"> </w:t>
      </w:r>
      <w:r>
        <w:rPr>
          <w:i/>
          <w:iCs/>
        </w:rPr>
        <w:t>Workbook</w:t>
      </w:r>
      <w:r w:rsidRPr="00E666E2">
        <w:rPr>
          <w:lang w:val="el-GR"/>
        </w:rPr>
        <w:t xml:space="preserve">). - </w:t>
      </w:r>
      <w:r>
        <w:rPr>
          <w:b/>
          <w:bCs/>
        </w:rPr>
        <w:t>KPI</w:t>
      </w:r>
      <w:r w:rsidRPr="00E666E2">
        <w:rPr>
          <w:b/>
          <w:bCs/>
          <w:lang w:val="el-GR"/>
        </w:rPr>
        <w:t xml:space="preserve"> </w:t>
      </w:r>
      <w:r>
        <w:rPr>
          <w:b/>
          <w:bCs/>
        </w:rPr>
        <w:t>intake</w:t>
      </w:r>
      <w:r w:rsidRPr="00E666E2">
        <w:rPr>
          <w:b/>
          <w:bCs/>
          <w:lang w:val="el-GR"/>
        </w:rPr>
        <w:t xml:space="preserve"> </w:t>
      </w:r>
      <w:r>
        <w:rPr>
          <w:b/>
          <w:bCs/>
        </w:rPr>
        <w:t>workbook</w:t>
      </w:r>
      <w:r w:rsidRPr="00E666E2">
        <w:rPr>
          <w:b/>
          <w:bCs/>
          <w:lang w:val="el-GR"/>
        </w:rPr>
        <w:t>:</w:t>
      </w:r>
      <w:r w:rsidRPr="00E666E2">
        <w:rPr>
          <w:lang w:val="el-GR"/>
        </w:rPr>
        <w:t xml:space="preserve"> </w:t>
      </w:r>
      <w:proofErr w:type="spellStart"/>
      <w:r>
        <w:rPr>
          <w:rStyle w:val="VerbatimChar"/>
        </w:rPr>
        <w:t>EconScope</w:t>
      </w:r>
      <w:proofErr w:type="spellEnd"/>
      <w:r w:rsidRPr="00E666E2">
        <w:rPr>
          <w:rStyle w:val="VerbatimChar"/>
          <w:lang w:val="el-GR"/>
        </w:rPr>
        <w:t>_</w:t>
      </w:r>
      <w:r>
        <w:rPr>
          <w:rStyle w:val="VerbatimChar"/>
        </w:rPr>
        <w:t>KPI</w:t>
      </w:r>
      <w:r w:rsidRPr="00E666E2">
        <w:rPr>
          <w:rStyle w:val="VerbatimChar"/>
          <w:lang w:val="el-GR"/>
        </w:rPr>
        <w:t>_</w:t>
      </w:r>
      <w:r>
        <w:rPr>
          <w:rStyle w:val="VerbatimChar"/>
        </w:rPr>
        <w:t>Baselines</w:t>
      </w:r>
      <w:r w:rsidRPr="00E666E2">
        <w:rPr>
          <w:rStyle w:val="VerbatimChar"/>
          <w:lang w:val="el-GR"/>
        </w:rPr>
        <w:t>_</w:t>
      </w:r>
      <w:r>
        <w:rPr>
          <w:rStyle w:val="VerbatimChar"/>
        </w:rPr>
        <w:t>Template</w:t>
      </w:r>
      <w:r w:rsidRPr="00E666E2">
        <w:rPr>
          <w:rStyle w:val="VerbatimChar"/>
          <w:lang w:val="el-GR"/>
        </w:rPr>
        <w:t>.</w:t>
      </w:r>
      <w:r>
        <w:rPr>
          <w:rStyle w:val="VerbatimChar"/>
        </w:rPr>
        <w:t>xlsx</w:t>
      </w:r>
      <w:r w:rsidRPr="00E666E2">
        <w:rPr>
          <w:lang w:val="el-GR"/>
        </w:rPr>
        <w:t xml:space="preserve"> (εφεξής </w:t>
      </w:r>
      <w:r>
        <w:rPr>
          <w:i/>
          <w:iCs/>
        </w:rPr>
        <w:t>KPI</w:t>
      </w:r>
      <w:r w:rsidRPr="00E666E2">
        <w:rPr>
          <w:i/>
          <w:iCs/>
          <w:lang w:val="el-GR"/>
        </w:rPr>
        <w:t xml:space="preserve"> </w:t>
      </w:r>
      <w:r>
        <w:rPr>
          <w:i/>
          <w:iCs/>
        </w:rPr>
        <w:t>Template</w:t>
      </w:r>
      <w:r w:rsidRPr="00E666E2">
        <w:rPr>
          <w:lang w:val="el-GR"/>
        </w:rPr>
        <w:t xml:space="preserve">), για εισαγωγή νέων </w:t>
      </w:r>
      <w:r>
        <w:t>baselines</w:t>
      </w:r>
      <w:r w:rsidRPr="00E666E2">
        <w:rPr>
          <w:lang w:val="el-GR"/>
        </w:rPr>
        <w:t>/</w:t>
      </w:r>
      <w:proofErr w:type="spellStart"/>
      <w:r w:rsidRPr="00E666E2">
        <w:rPr>
          <w:lang w:val="el-GR"/>
        </w:rPr>
        <w:t>προξυ</w:t>
      </w:r>
      <w:proofErr w:type="spellEnd"/>
      <w:r w:rsidRPr="00E666E2">
        <w:rPr>
          <w:lang w:val="el-GR"/>
        </w:rPr>
        <w:t>.</w:t>
      </w:r>
    </w:p>
    <w:p w14:paraId="362F7737" w14:textId="77777777" w:rsidR="00A16C33" w:rsidRPr="00E666E2" w:rsidRDefault="00A16C33" w:rsidP="00A16C33">
      <w:pPr>
        <w:pStyle w:val="BlockText"/>
        <w:rPr>
          <w:lang w:val="el-GR"/>
        </w:rPr>
      </w:pPr>
      <w:r w:rsidRPr="00E666E2">
        <w:rPr>
          <w:b/>
          <w:bCs/>
          <w:lang w:val="el-GR"/>
        </w:rPr>
        <w:t>Σημείωση ορολογίας.</w:t>
      </w:r>
      <w:r w:rsidRPr="00E666E2">
        <w:rPr>
          <w:lang w:val="el-GR"/>
        </w:rPr>
        <w:t xml:space="preserve"> Όπου χρησιμοποιούνται ακρωνύμια, δίνεται πλήρες όνομα στα Ελληνικά και στα Αγγλικά την πρώτη φορά: </w:t>
      </w:r>
      <w:r>
        <w:t>HICP</w:t>
      </w:r>
      <w:r w:rsidRPr="00E666E2">
        <w:rPr>
          <w:lang w:val="el-GR"/>
        </w:rPr>
        <w:t xml:space="preserve">, </w:t>
      </w:r>
      <w:r>
        <w:t>PLI</w:t>
      </w:r>
      <w:r w:rsidRPr="00E666E2">
        <w:rPr>
          <w:lang w:val="el-GR"/>
        </w:rPr>
        <w:t xml:space="preserve">, </w:t>
      </w:r>
      <w:r>
        <w:t>CR</w:t>
      </w:r>
      <w:r w:rsidRPr="00E666E2">
        <w:rPr>
          <w:lang w:val="el-GR"/>
        </w:rPr>
        <w:t xml:space="preserve">4, </w:t>
      </w:r>
      <w:r>
        <w:t>HHI</w:t>
      </w:r>
      <w:r w:rsidRPr="00E666E2">
        <w:rPr>
          <w:lang w:val="el-GR"/>
        </w:rPr>
        <w:t xml:space="preserve">, </w:t>
      </w:r>
      <w:r>
        <w:t>TSC</w:t>
      </w:r>
      <w:r w:rsidRPr="00E666E2">
        <w:rPr>
          <w:lang w:val="el-GR"/>
        </w:rPr>
        <w:t xml:space="preserve">, </w:t>
      </w:r>
      <w:r>
        <w:t>POS</w:t>
      </w:r>
      <w:r w:rsidRPr="00E666E2">
        <w:rPr>
          <w:lang w:val="el-GR"/>
        </w:rPr>
        <w:t xml:space="preserve">, </w:t>
      </w:r>
      <w:r>
        <w:t>e</w:t>
      </w:r>
      <w:r w:rsidRPr="00E666E2">
        <w:rPr>
          <w:rFonts w:ascii="Cambria Math" w:hAnsi="Cambria Math" w:cs="Cambria Math"/>
          <w:lang w:val="el-GR"/>
        </w:rPr>
        <w:t>‑</w:t>
      </w:r>
      <w:r>
        <w:t>invoicing</w:t>
      </w:r>
      <w:r w:rsidRPr="00E666E2">
        <w:rPr>
          <w:lang w:val="el-GR"/>
        </w:rPr>
        <w:t>.</w:t>
      </w:r>
    </w:p>
    <w:p w14:paraId="55FD47CE" w14:textId="77777777" w:rsidR="00A16C33" w:rsidRDefault="00A16C33" w:rsidP="00A16C33">
      <w:r>
        <w:pict w14:anchorId="3AF51B92">
          <v:rect id="_x0000_i1081" style="width:0;height:1.5pt" o:hralign="center" o:hrstd="t" o:hr="t"/>
        </w:pict>
      </w:r>
    </w:p>
    <w:p w14:paraId="70B886F8" w14:textId="77777777" w:rsidR="00A16C33" w:rsidRPr="00E666E2" w:rsidRDefault="00A16C33" w:rsidP="00A16C33">
      <w:pPr>
        <w:pStyle w:val="Heading2"/>
        <w:rPr>
          <w:lang w:val="el-GR"/>
        </w:rPr>
      </w:pPr>
      <w:bookmarkStart w:id="2" w:name="δομή-του-main-workbook-λεξικό-δεδομένων"/>
      <w:bookmarkEnd w:id="1"/>
      <w:r w:rsidRPr="00E666E2">
        <w:rPr>
          <w:lang w:val="el-GR"/>
        </w:rPr>
        <w:t xml:space="preserve">1) Δομή του </w:t>
      </w:r>
      <w:r>
        <w:t>Main</w:t>
      </w:r>
      <w:r w:rsidRPr="00E666E2">
        <w:rPr>
          <w:lang w:val="el-GR"/>
        </w:rPr>
        <w:t xml:space="preserve"> </w:t>
      </w:r>
      <w:r>
        <w:t>Workbook</w:t>
      </w:r>
      <w:r w:rsidRPr="00E666E2">
        <w:rPr>
          <w:lang w:val="el-GR"/>
        </w:rPr>
        <w:t xml:space="preserve"> &amp; Λεξικό Δεδομένων</w:t>
      </w:r>
    </w:p>
    <w:p w14:paraId="721ECFD4" w14:textId="77777777" w:rsidR="00A16C33" w:rsidRPr="00E666E2" w:rsidRDefault="00A16C33" w:rsidP="00A16C33">
      <w:pPr>
        <w:pStyle w:val="Compact"/>
        <w:numPr>
          <w:ilvl w:val="0"/>
          <w:numId w:val="68"/>
        </w:numPr>
        <w:rPr>
          <w:lang w:val="el-GR"/>
        </w:rPr>
      </w:pPr>
      <w:r>
        <w:rPr>
          <w:rStyle w:val="VerbatimChar"/>
          <w:b/>
          <w:bCs/>
        </w:rPr>
        <w:t>PLI</w:t>
      </w:r>
      <w:r w:rsidRPr="00E666E2">
        <w:rPr>
          <w:rStyle w:val="VerbatimChar"/>
          <w:b/>
          <w:bCs/>
          <w:lang w:val="el-GR"/>
        </w:rPr>
        <w:t>_</w:t>
      </w:r>
      <w:r>
        <w:rPr>
          <w:rStyle w:val="VerbatimChar"/>
          <w:b/>
          <w:bCs/>
        </w:rPr>
        <w:t>HICP</w:t>
      </w:r>
      <w:r w:rsidRPr="00E666E2">
        <w:rPr>
          <w:lang w:val="el-GR"/>
        </w:rPr>
        <w:t xml:space="preserve">: </w:t>
      </w:r>
      <w:proofErr w:type="spellStart"/>
      <w:r w:rsidRPr="00E666E2">
        <w:rPr>
          <w:lang w:val="el-GR"/>
        </w:rPr>
        <w:t>χρονοσειρές</w:t>
      </w:r>
      <w:proofErr w:type="spellEnd"/>
      <w:r w:rsidRPr="00E666E2">
        <w:rPr>
          <w:lang w:val="el-GR"/>
        </w:rPr>
        <w:t xml:space="preserve"> </w:t>
      </w:r>
      <w:r>
        <w:t>HICP</w:t>
      </w:r>
      <w:r w:rsidRPr="00E666E2">
        <w:rPr>
          <w:lang w:val="el-GR"/>
        </w:rPr>
        <w:t xml:space="preserve"> (2015=100) για Ελλάδα/συγκριτικές χώρες· παράγωγα </w:t>
      </w:r>
      <w:r>
        <w:t>YoY</w:t>
      </w:r>
      <w:r w:rsidRPr="00E666E2">
        <w:rPr>
          <w:lang w:val="el-GR"/>
        </w:rPr>
        <w:t>/</w:t>
      </w:r>
      <w:r>
        <w:t>MoM</w:t>
      </w:r>
      <w:r w:rsidRPr="00E666E2">
        <w:rPr>
          <w:lang w:val="el-GR"/>
        </w:rPr>
        <w:t>, διαφορές έναντι Πορτογαλίας/Ιρλανδίας.</w:t>
      </w:r>
    </w:p>
    <w:p w14:paraId="2317DC0C" w14:textId="77777777" w:rsidR="00A16C33" w:rsidRDefault="00A16C33" w:rsidP="00A16C33">
      <w:pPr>
        <w:pStyle w:val="Compact"/>
        <w:numPr>
          <w:ilvl w:val="0"/>
          <w:numId w:val="68"/>
        </w:numPr>
      </w:pPr>
      <w:proofErr w:type="spellStart"/>
      <w:r>
        <w:rPr>
          <w:rStyle w:val="VerbatimChar"/>
          <w:b/>
          <w:bCs/>
        </w:rPr>
        <w:t>Market_Structure_Aggregates</w:t>
      </w:r>
      <w:proofErr w:type="spellEnd"/>
      <w:r>
        <w:t xml:space="preserve">: </w:t>
      </w:r>
      <w:proofErr w:type="spellStart"/>
      <w:r>
        <w:t>συγκέντρωση</w:t>
      </w:r>
      <w:proofErr w:type="spellEnd"/>
      <w:r>
        <w:t xml:space="preserve"> </w:t>
      </w:r>
      <w:proofErr w:type="spellStart"/>
      <w:r>
        <w:t>λι</w:t>
      </w:r>
      <w:proofErr w:type="spellEnd"/>
      <w:r>
        <w:t>ανικής α</w:t>
      </w:r>
      <w:proofErr w:type="spellStart"/>
      <w:r>
        <w:t>νά</w:t>
      </w:r>
      <w:proofErr w:type="spellEnd"/>
      <w:r>
        <w:t xml:space="preserve"> </w:t>
      </w:r>
      <w:proofErr w:type="spellStart"/>
      <w:r>
        <w:t>κλάδο</w:t>
      </w:r>
      <w:proofErr w:type="spellEnd"/>
      <w:r>
        <w:t>/</w:t>
      </w:r>
      <w:proofErr w:type="spellStart"/>
      <w:r>
        <w:t>έτος</w:t>
      </w:r>
      <w:proofErr w:type="spellEnd"/>
      <w:r>
        <w:t xml:space="preserve"> (</w:t>
      </w:r>
      <w:r>
        <w:rPr>
          <w:rStyle w:val="VerbatimChar"/>
        </w:rPr>
        <w:t>sector</w:t>
      </w:r>
      <w:r>
        <w:t xml:space="preserve">, </w:t>
      </w:r>
      <w:r>
        <w:rPr>
          <w:rStyle w:val="VerbatimChar"/>
        </w:rPr>
        <w:t>year</w:t>
      </w:r>
      <w:r>
        <w:t xml:space="preserve">, </w:t>
      </w:r>
      <w:r>
        <w:rPr>
          <w:rStyle w:val="VerbatimChar"/>
        </w:rPr>
        <w:t>CR4</w:t>
      </w:r>
      <w:r>
        <w:t xml:space="preserve">, </w:t>
      </w:r>
      <w:r>
        <w:rPr>
          <w:rStyle w:val="VerbatimChar"/>
        </w:rPr>
        <w:t>HHI</w:t>
      </w:r>
      <w:r>
        <w:t xml:space="preserve">, </w:t>
      </w:r>
      <w:r>
        <w:rPr>
          <w:rStyle w:val="VerbatimChar"/>
        </w:rPr>
        <w:t>notes</w:t>
      </w:r>
      <w:r>
        <w:t>).</w:t>
      </w:r>
    </w:p>
    <w:p w14:paraId="65617EB7" w14:textId="77777777" w:rsidR="00A16C33" w:rsidRDefault="00A16C33" w:rsidP="00A16C33">
      <w:pPr>
        <w:pStyle w:val="Compact"/>
        <w:numPr>
          <w:ilvl w:val="0"/>
          <w:numId w:val="68"/>
        </w:numPr>
      </w:pPr>
      <w:proofErr w:type="spellStart"/>
      <w:r>
        <w:rPr>
          <w:rStyle w:val="VerbatimChar"/>
          <w:b/>
          <w:bCs/>
        </w:rPr>
        <w:t>Consumer_Behavior</w:t>
      </w:r>
      <w:proofErr w:type="spellEnd"/>
      <w:r>
        <w:t xml:space="preserve">: PL, </w:t>
      </w:r>
      <w:proofErr w:type="spellStart"/>
      <w:r>
        <w:t>έντ</w:t>
      </w:r>
      <w:proofErr w:type="spellEnd"/>
      <w:r>
        <w:t>αση π</w:t>
      </w:r>
      <w:proofErr w:type="spellStart"/>
      <w:r>
        <w:t>ροωθήσεων</w:t>
      </w:r>
      <w:proofErr w:type="spellEnd"/>
      <w:r>
        <w:t>, e</w:t>
      </w:r>
      <w:r>
        <w:rPr>
          <w:rFonts w:ascii="Cambria Math" w:hAnsi="Cambria Math" w:cs="Cambria Math"/>
        </w:rPr>
        <w:t>‑</w:t>
      </w:r>
      <w:r>
        <w:t>grocery turnover.</w:t>
      </w:r>
    </w:p>
    <w:p w14:paraId="684721D2" w14:textId="77777777" w:rsidR="00A16C33" w:rsidRPr="00E666E2" w:rsidRDefault="00A16C33" w:rsidP="00A16C33">
      <w:pPr>
        <w:pStyle w:val="Compact"/>
        <w:numPr>
          <w:ilvl w:val="0"/>
          <w:numId w:val="68"/>
        </w:numPr>
        <w:rPr>
          <w:lang w:val="el-GR"/>
        </w:rPr>
      </w:pPr>
      <w:r>
        <w:rPr>
          <w:rStyle w:val="VerbatimChar"/>
          <w:b/>
          <w:bCs/>
        </w:rPr>
        <w:t>TSC</w:t>
      </w:r>
      <w:r w:rsidRPr="00E666E2">
        <w:rPr>
          <w:rStyle w:val="VerbatimChar"/>
          <w:b/>
          <w:bCs/>
          <w:lang w:val="el-GR"/>
        </w:rPr>
        <w:t>_</w:t>
      </w:r>
      <w:r>
        <w:rPr>
          <w:rStyle w:val="VerbatimChar"/>
          <w:b/>
          <w:bCs/>
        </w:rPr>
        <w:t>Distribution</w:t>
      </w:r>
      <w:r w:rsidRPr="00E666E2">
        <w:rPr>
          <w:lang w:val="el-GR"/>
        </w:rPr>
        <w:t xml:space="preserve">: συμβάντα/πρακτικές </w:t>
      </w:r>
      <w:r>
        <w:t>TSC</w:t>
      </w:r>
      <w:r w:rsidRPr="00E666E2">
        <w:rPr>
          <w:lang w:val="el-GR"/>
        </w:rPr>
        <w:t>.</w:t>
      </w:r>
    </w:p>
    <w:p w14:paraId="0BE97259" w14:textId="77777777" w:rsidR="00A16C33" w:rsidRPr="00E666E2" w:rsidRDefault="00A16C33" w:rsidP="00A16C33">
      <w:pPr>
        <w:pStyle w:val="Compact"/>
        <w:numPr>
          <w:ilvl w:val="0"/>
          <w:numId w:val="68"/>
        </w:numPr>
        <w:rPr>
          <w:lang w:val="el-GR"/>
        </w:rPr>
      </w:pPr>
      <w:r>
        <w:rPr>
          <w:rStyle w:val="VerbatimChar"/>
          <w:b/>
          <w:bCs/>
        </w:rPr>
        <w:t>HCC</w:t>
      </w:r>
      <w:r w:rsidRPr="00E666E2">
        <w:rPr>
          <w:rStyle w:val="VerbatimChar"/>
          <w:b/>
          <w:bCs/>
          <w:lang w:val="el-GR"/>
        </w:rPr>
        <w:t>_</w:t>
      </w:r>
      <w:r>
        <w:rPr>
          <w:rStyle w:val="VerbatimChar"/>
          <w:b/>
          <w:bCs/>
        </w:rPr>
        <w:t>Cases</w:t>
      </w:r>
      <w:r w:rsidRPr="00E666E2">
        <w:rPr>
          <w:lang w:val="el-GR"/>
        </w:rPr>
        <w:t>: υποθέσεις Επιτροπής Ανταγωνισμού.</w:t>
      </w:r>
    </w:p>
    <w:p w14:paraId="15D479E1" w14:textId="77777777" w:rsidR="00A16C33" w:rsidRPr="00E666E2" w:rsidRDefault="00A16C33" w:rsidP="00A16C33">
      <w:pPr>
        <w:pStyle w:val="Compact"/>
        <w:numPr>
          <w:ilvl w:val="0"/>
          <w:numId w:val="68"/>
        </w:numPr>
        <w:rPr>
          <w:lang w:val="el-GR"/>
        </w:rPr>
      </w:pPr>
      <w:r>
        <w:rPr>
          <w:rStyle w:val="VerbatimChar"/>
          <w:b/>
          <w:bCs/>
        </w:rPr>
        <w:t>Charts</w:t>
      </w:r>
      <w:r w:rsidRPr="00E666E2">
        <w:rPr>
          <w:lang w:val="el-GR"/>
        </w:rPr>
        <w:t xml:space="preserve">: έτοιμα γραφήματα </w:t>
      </w:r>
      <w:r>
        <w:t>CR</w:t>
      </w:r>
      <w:r w:rsidRPr="00E666E2">
        <w:rPr>
          <w:lang w:val="el-GR"/>
        </w:rPr>
        <w:t>4/</w:t>
      </w:r>
      <w:r>
        <w:t>HHI</w:t>
      </w:r>
      <w:r w:rsidRPr="00E666E2">
        <w:rPr>
          <w:lang w:val="el-GR"/>
        </w:rPr>
        <w:t>/</w:t>
      </w:r>
      <w:r>
        <w:t>HICP</w:t>
      </w:r>
      <w:r w:rsidRPr="00E666E2">
        <w:rPr>
          <w:lang w:val="el-GR"/>
        </w:rPr>
        <w:t>.</w:t>
      </w:r>
    </w:p>
    <w:p w14:paraId="13547366" w14:textId="77777777" w:rsidR="00A16C33" w:rsidRDefault="00A16C33" w:rsidP="00A16C33">
      <w:pPr>
        <w:pStyle w:val="FirstParagraph"/>
      </w:pPr>
      <w:r>
        <w:rPr>
          <w:b/>
          <w:bCs/>
        </w:rPr>
        <w:t>KPI Template:</w:t>
      </w:r>
      <w:r>
        <w:t xml:space="preserve"> </w:t>
      </w:r>
      <w:proofErr w:type="spellStart"/>
      <w:r>
        <w:rPr>
          <w:rStyle w:val="VerbatimChar"/>
        </w:rPr>
        <w:t>KPI_Baselines</w:t>
      </w:r>
      <w:proofErr w:type="spellEnd"/>
      <w:r>
        <w:t xml:space="preserve"> και domain tabs: </w:t>
      </w:r>
      <w:proofErr w:type="spellStart"/>
      <w:r>
        <w:rPr>
          <w:rStyle w:val="VerbatimChar"/>
        </w:rPr>
        <w:t>SKU_Audit</w:t>
      </w:r>
      <w:proofErr w:type="spellEnd"/>
      <w:r>
        <w:t xml:space="preserve">, </w:t>
      </w:r>
      <w:proofErr w:type="spellStart"/>
      <w:r>
        <w:rPr>
          <w:rStyle w:val="VerbatimChar"/>
        </w:rPr>
        <w:t>Compliance_Timings</w:t>
      </w:r>
      <w:proofErr w:type="spellEnd"/>
      <w:r>
        <w:t xml:space="preserve">, </w:t>
      </w:r>
      <w:proofErr w:type="spellStart"/>
      <w:r>
        <w:rPr>
          <w:rStyle w:val="VerbatimChar"/>
        </w:rPr>
        <w:t>SME_Logistics</w:t>
      </w:r>
      <w:proofErr w:type="spellEnd"/>
      <w:r>
        <w:t xml:space="preserve">, </w:t>
      </w:r>
      <w:r>
        <w:rPr>
          <w:rStyle w:val="VerbatimChar"/>
        </w:rPr>
        <w:t>Coverage</w:t>
      </w:r>
      <w:r>
        <w:t xml:space="preserve">, </w:t>
      </w:r>
      <w:proofErr w:type="spellStart"/>
      <w:r>
        <w:rPr>
          <w:rStyle w:val="VerbatimChar"/>
        </w:rPr>
        <w:t>Net_vs_List</w:t>
      </w:r>
      <w:proofErr w:type="spellEnd"/>
      <w:r>
        <w:t xml:space="preserve">, </w:t>
      </w:r>
      <w:proofErr w:type="spellStart"/>
      <w:r>
        <w:rPr>
          <w:rStyle w:val="VerbatimChar"/>
        </w:rPr>
        <w:t>IntraBrand_Spread</w:t>
      </w:r>
      <w:proofErr w:type="spellEnd"/>
      <w:r>
        <w:t xml:space="preserve">, </w:t>
      </w:r>
      <w:proofErr w:type="spellStart"/>
      <w:r>
        <w:rPr>
          <w:rStyle w:val="VerbatimChar"/>
        </w:rPr>
        <w:t>Shelf_Facings</w:t>
      </w:r>
      <w:proofErr w:type="spellEnd"/>
      <w:r>
        <w:t xml:space="preserve">, </w:t>
      </w:r>
      <w:proofErr w:type="spellStart"/>
      <w:r>
        <w:rPr>
          <w:rStyle w:val="VerbatimChar"/>
        </w:rPr>
        <w:t>Channel_Share</w:t>
      </w:r>
      <w:proofErr w:type="spellEnd"/>
      <w:r>
        <w:t xml:space="preserve">, </w:t>
      </w:r>
      <w:proofErr w:type="spellStart"/>
      <w:r>
        <w:rPr>
          <w:rStyle w:val="VerbatimChar"/>
        </w:rPr>
        <w:t>Comparator_Usage</w:t>
      </w:r>
      <w:proofErr w:type="spellEnd"/>
      <w:r>
        <w:t xml:space="preserve">, </w:t>
      </w:r>
      <w:proofErr w:type="spellStart"/>
      <w:r>
        <w:rPr>
          <w:rStyle w:val="VerbatimChar"/>
        </w:rPr>
        <w:t>HCC_Cases</w:t>
      </w:r>
      <w:proofErr w:type="spellEnd"/>
      <w:r>
        <w:t>.</w:t>
      </w:r>
    </w:p>
    <w:p w14:paraId="29DBCE8C" w14:textId="77777777" w:rsidR="00A16C33" w:rsidRDefault="00A16C33" w:rsidP="00A16C33">
      <w:r>
        <w:pict w14:anchorId="682F83A9">
          <v:rect id="_x0000_i1082" style="width:0;height:1.5pt" o:hralign="center" o:hrstd="t" o:hr="t"/>
        </w:pict>
      </w:r>
    </w:p>
    <w:p w14:paraId="708F9711" w14:textId="77777777" w:rsidR="00A16C33" w:rsidRPr="0089101B" w:rsidRDefault="00A16C33" w:rsidP="00A16C33">
      <w:pPr>
        <w:pStyle w:val="Heading2"/>
        <w:rPr>
          <w:lang w:val="el-GR"/>
        </w:rPr>
      </w:pPr>
      <w:bookmarkStart w:id="3" w:name="πυρήνας-μετρικών-υπολογισμοί-σύντομο"/>
      <w:bookmarkEnd w:id="2"/>
      <w:r>
        <w:t xml:space="preserve">2) </w:t>
      </w:r>
      <w:proofErr w:type="spellStart"/>
      <w:r>
        <w:t>Πυρήν</w:t>
      </w:r>
      <w:proofErr w:type="spellEnd"/>
      <w:r>
        <w:t xml:space="preserve">ας </w:t>
      </w:r>
      <w:proofErr w:type="spellStart"/>
      <w:r>
        <w:t>Μετρικών</w:t>
      </w:r>
      <w:proofErr w:type="spellEnd"/>
      <w:r>
        <w:t xml:space="preserve"> &amp; Υπ</w:t>
      </w:r>
      <w:proofErr w:type="spellStart"/>
      <w:r>
        <w:t>ολογισμοί</w:t>
      </w:r>
      <w:proofErr w:type="spellEnd"/>
      <w:r>
        <w:t xml:space="preserve"> </w:t>
      </w:r>
    </w:p>
    <w:p w14:paraId="4FA34895" w14:textId="77777777" w:rsidR="00A16C33" w:rsidRDefault="00A16C33" w:rsidP="00A16C33">
      <w:pPr>
        <w:pStyle w:val="Compact"/>
        <w:numPr>
          <w:ilvl w:val="0"/>
          <w:numId w:val="68"/>
        </w:numPr>
      </w:pPr>
      <w:r>
        <w:rPr>
          <w:b/>
          <w:bCs/>
        </w:rPr>
        <w:t>HICP (2015=100)</w:t>
      </w:r>
      <w:r>
        <w:t xml:space="preserve">: </w:t>
      </w:r>
      <w:r>
        <w:rPr>
          <w:rStyle w:val="VerbatimChar"/>
        </w:rPr>
        <w:t xml:space="preserve">YoY = </w:t>
      </w:r>
      <w:proofErr w:type="spellStart"/>
      <w:r>
        <w:rPr>
          <w:rStyle w:val="VerbatimChar"/>
        </w:rPr>
        <w:t>Index_t</w:t>
      </w:r>
      <w:proofErr w:type="spellEnd"/>
      <w:r>
        <w:rPr>
          <w:rStyle w:val="VerbatimChar"/>
        </w:rPr>
        <w:t xml:space="preserve"> / </w:t>
      </w:r>
      <w:proofErr w:type="gramStart"/>
      <w:r>
        <w:rPr>
          <w:rStyle w:val="VerbatimChar"/>
        </w:rPr>
        <w:t>Index_{</w:t>
      </w:r>
      <w:proofErr w:type="gramEnd"/>
      <w:r>
        <w:rPr>
          <w:rStyle w:val="VerbatimChar"/>
        </w:rPr>
        <w:t>t-12} − 1</w:t>
      </w:r>
      <w:r>
        <w:t xml:space="preserve">. Excel: </w:t>
      </w:r>
      <w:r>
        <w:rPr>
          <w:rStyle w:val="VerbatimChar"/>
        </w:rPr>
        <w:t>PLI_HICP</w:t>
      </w:r>
      <w:r>
        <w:t>.</w:t>
      </w:r>
    </w:p>
    <w:p w14:paraId="46245B10" w14:textId="77777777" w:rsidR="00A16C33" w:rsidRDefault="00A16C33" w:rsidP="00A16C33">
      <w:pPr>
        <w:pStyle w:val="Compact"/>
        <w:numPr>
          <w:ilvl w:val="0"/>
          <w:numId w:val="68"/>
        </w:numPr>
      </w:pPr>
      <w:r>
        <w:rPr>
          <w:b/>
          <w:bCs/>
        </w:rPr>
        <w:t>CR</w:t>
      </w:r>
      <w:r w:rsidRPr="00E666E2">
        <w:rPr>
          <w:b/>
          <w:bCs/>
          <w:lang w:val="el-GR"/>
        </w:rPr>
        <w:t>4/</w:t>
      </w:r>
      <w:r>
        <w:rPr>
          <w:b/>
          <w:bCs/>
        </w:rPr>
        <w:t>HHI</w:t>
      </w:r>
      <w:r w:rsidRPr="00E666E2">
        <w:rPr>
          <w:lang w:val="el-GR"/>
        </w:rPr>
        <w:t xml:space="preserve">: </w:t>
      </w:r>
      <w:r>
        <w:t>CR</w:t>
      </w:r>
      <w:r w:rsidRPr="00E666E2">
        <w:rPr>
          <w:lang w:val="el-GR"/>
        </w:rPr>
        <w:t xml:space="preserve">4 = άθροισμα 4 μεγαλύτερων· </w:t>
      </w:r>
      <w:r>
        <w:t>HHI</w:t>
      </w:r>
      <w:r w:rsidRPr="00E666E2">
        <w:rPr>
          <w:lang w:val="el-GR"/>
        </w:rPr>
        <w:t xml:space="preserve"> = άθροισμα τετραγώνων μεριδίων. </w:t>
      </w:r>
      <w:r>
        <w:t xml:space="preserve">Excel: </w:t>
      </w:r>
      <w:proofErr w:type="spellStart"/>
      <w:r>
        <w:rPr>
          <w:rStyle w:val="VerbatimChar"/>
        </w:rPr>
        <w:t>Market_Structure_Aggregates</w:t>
      </w:r>
      <w:proofErr w:type="spellEnd"/>
      <w:r>
        <w:t>.</w:t>
      </w:r>
    </w:p>
    <w:p w14:paraId="7BC653F8" w14:textId="77777777" w:rsidR="00A16C33" w:rsidRDefault="00A16C33" w:rsidP="00A16C33">
      <w:pPr>
        <w:pStyle w:val="Compact"/>
        <w:numPr>
          <w:ilvl w:val="0"/>
          <w:numId w:val="68"/>
        </w:numPr>
      </w:pPr>
      <w:r>
        <w:rPr>
          <w:b/>
          <w:bCs/>
        </w:rPr>
        <w:t>Promo share &amp; Net vs List</w:t>
      </w:r>
      <w:r>
        <w:t>: Promo 25,3% (</w:t>
      </w:r>
      <w:proofErr w:type="spellStart"/>
      <w:r>
        <w:t>Circana</w:t>
      </w:r>
      <w:proofErr w:type="spellEnd"/>
      <w:r>
        <w:t xml:space="preserve"> 2023) </w:t>
      </w:r>
      <w:r>
        <w:rPr>
          <w:rFonts w:ascii="Cambria Math" w:hAnsi="Cambria Math" w:cs="Cambria Math"/>
        </w:rPr>
        <w:t>⇒</w:t>
      </w:r>
      <w:r>
        <w:t xml:space="preserve"> proxy gap 5</w:t>
      </w:r>
      <w:r>
        <w:rPr>
          <w:rFonts w:ascii="Calibri" w:hAnsi="Calibri" w:cs="Calibri"/>
        </w:rPr>
        <w:t>–</w:t>
      </w:r>
      <w:r>
        <w:t xml:space="preserve">10%. Excel: </w:t>
      </w:r>
      <w:proofErr w:type="spellStart"/>
      <w:r>
        <w:rPr>
          <w:rStyle w:val="VerbatimChar"/>
        </w:rPr>
        <w:t>Consumer_Behavior</w:t>
      </w:r>
      <w:proofErr w:type="spellEnd"/>
      <w:r>
        <w:t xml:space="preserve"> + </w:t>
      </w:r>
      <w:proofErr w:type="spellStart"/>
      <w:r>
        <w:rPr>
          <w:rStyle w:val="VerbatimChar"/>
        </w:rPr>
        <w:t>Net_vs_List</w:t>
      </w:r>
      <w:proofErr w:type="spellEnd"/>
      <w:r>
        <w:t>.</w:t>
      </w:r>
    </w:p>
    <w:p w14:paraId="02904529" w14:textId="77777777" w:rsidR="00A16C33" w:rsidRDefault="00A16C33" w:rsidP="00A16C33">
      <w:pPr>
        <w:pStyle w:val="Compact"/>
        <w:numPr>
          <w:ilvl w:val="0"/>
          <w:numId w:val="68"/>
        </w:numPr>
      </w:pPr>
      <w:r>
        <w:rPr>
          <w:b/>
          <w:bCs/>
        </w:rPr>
        <w:lastRenderedPageBreak/>
        <w:t>e</w:t>
      </w:r>
      <w:r>
        <w:rPr>
          <w:rFonts w:ascii="Cambria Math" w:hAnsi="Cambria Math" w:cs="Cambria Math"/>
          <w:b/>
          <w:bCs/>
        </w:rPr>
        <w:t>‑</w:t>
      </w:r>
      <w:r>
        <w:rPr>
          <w:b/>
          <w:bCs/>
        </w:rPr>
        <w:t>grocery share</w:t>
      </w:r>
      <w:r>
        <w:t xml:space="preserve">: </w:t>
      </w:r>
      <w:proofErr w:type="spellStart"/>
      <w:r>
        <w:rPr>
          <w:rStyle w:val="VerbatimChar"/>
        </w:rPr>
        <w:t>e_turnover</w:t>
      </w:r>
      <w:proofErr w:type="spellEnd"/>
      <w:r>
        <w:rPr>
          <w:rStyle w:val="VerbatimChar"/>
        </w:rPr>
        <w:t xml:space="preserve"> / </w:t>
      </w:r>
      <w:proofErr w:type="spellStart"/>
      <w:r>
        <w:rPr>
          <w:rStyle w:val="VerbatimChar"/>
        </w:rPr>
        <w:t>total_grocery</w:t>
      </w:r>
      <w:proofErr w:type="spellEnd"/>
      <w:r>
        <w:t xml:space="preserve">. Baseline 2023: 306/11.8 ≈ 2,6%. Excel: </w:t>
      </w:r>
      <w:proofErr w:type="spellStart"/>
      <w:r>
        <w:rPr>
          <w:rStyle w:val="VerbatimChar"/>
        </w:rPr>
        <w:t>Channel_Share</w:t>
      </w:r>
      <w:proofErr w:type="spellEnd"/>
      <w:r>
        <w:t>.</w:t>
      </w:r>
    </w:p>
    <w:p w14:paraId="73B9F74E" w14:textId="77777777" w:rsidR="00A16C33" w:rsidRDefault="00A16C33" w:rsidP="00A16C33">
      <w:pPr>
        <w:pStyle w:val="Compact"/>
        <w:numPr>
          <w:ilvl w:val="0"/>
          <w:numId w:val="68"/>
        </w:numPr>
      </w:pPr>
      <w:r>
        <w:rPr>
          <w:b/>
          <w:bCs/>
        </w:rPr>
        <w:t>Discounters share</w:t>
      </w:r>
      <w:r>
        <w:t xml:space="preserve">: </w:t>
      </w:r>
      <w:proofErr w:type="spellStart"/>
      <w:r>
        <w:t>Ελλάδ</w:t>
      </w:r>
      <w:proofErr w:type="spellEnd"/>
      <w:r>
        <w:t xml:space="preserve">α ~15%. Excel: </w:t>
      </w:r>
      <w:proofErr w:type="spellStart"/>
      <w:r>
        <w:rPr>
          <w:rStyle w:val="VerbatimChar"/>
        </w:rPr>
        <w:t>Channel_Share</w:t>
      </w:r>
      <w:proofErr w:type="spellEnd"/>
      <w:r>
        <w:t>.</w:t>
      </w:r>
    </w:p>
    <w:p w14:paraId="40515B22" w14:textId="77777777" w:rsidR="00A16C33" w:rsidRDefault="00A16C33" w:rsidP="00A16C33">
      <w:r>
        <w:pict w14:anchorId="01DAD027">
          <v:rect id="_x0000_i1083" style="width:0;height:1.5pt" o:hralign="center" o:hrstd="t" o:hr="t"/>
        </w:pict>
      </w:r>
    </w:p>
    <w:p w14:paraId="0C21F235" w14:textId="77777777" w:rsidR="00A16C33" w:rsidRDefault="00A16C33" w:rsidP="00A16C33">
      <w:pPr>
        <w:pStyle w:val="Heading2"/>
      </w:pPr>
      <w:bookmarkStart w:id="4" w:name="Xd11e89e1da3fdeabd8098970ac8a0c4800224c5"/>
      <w:bookmarkEnd w:id="3"/>
      <w:r>
        <w:t>3) Baselines από Deep Research (</w:t>
      </w:r>
      <w:proofErr w:type="spellStart"/>
      <w:r>
        <w:t>συνο</w:t>
      </w:r>
      <w:proofErr w:type="spellEnd"/>
      <w:r>
        <w:t>πτικός π</w:t>
      </w:r>
      <w:proofErr w:type="spellStart"/>
      <w:r>
        <w:t>ίν</w:t>
      </w:r>
      <w:proofErr w:type="spellEnd"/>
      <w:r>
        <w:t>ακας)</w:t>
      </w:r>
    </w:p>
    <w:p w14:paraId="0D55A057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POS: ~100% (2024, ΑΑΔΕ). e</w:t>
      </w:r>
      <w:r>
        <w:rPr>
          <w:rFonts w:ascii="Cambria Math" w:hAnsi="Cambria Math" w:cs="Cambria Math"/>
        </w:rPr>
        <w:t>‑</w:t>
      </w:r>
      <w:r>
        <w:t>invoicing: ~0% (</w:t>
      </w:r>
      <w:proofErr w:type="spellStart"/>
      <w:r>
        <w:rPr>
          <w:rFonts w:ascii="Calibri" w:hAnsi="Calibri" w:cs="Calibri"/>
        </w:rPr>
        <w:t>έως</w:t>
      </w:r>
      <w:proofErr w:type="spellEnd"/>
      <w:r>
        <w:t xml:space="preserve"> mandate 2025</w:t>
      </w:r>
      <w:r>
        <w:rPr>
          <w:rFonts w:ascii="Calibri" w:hAnsi="Calibri" w:cs="Calibri"/>
        </w:rPr>
        <w:t>–</w:t>
      </w:r>
      <w:r>
        <w:t xml:space="preserve">26). </w:t>
      </w:r>
    </w:p>
    <w:p w14:paraId="28F4EF37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Promo share: 25,3% (</w:t>
      </w:r>
      <w:proofErr w:type="spellStart"/>
      <w:r>
        <w:t>Circana</w:t>
      </w:r>
      <w:proofErr w:type="spellEnd"/>
      <w:r>
        <w:t xml:space="preserve"> 2023) </w:t>
      </w:r>
      <w:r>
        <w:rPr>
          <w:rFonts w:ascii="Cambria Math" w:hAnsi="Cambria Math" w:cs="Cambria Math"/>
        </w:rPr>
        <w:t>⇒</w:t>
      </w:r>
      <w:r>
        <w:t xml:space="preserve"> proxy net</w:t>
      </w:r>
      <w:r>
        <w:rPr>
          <w:rFonts w:ascii="Cambria Math" w:hAnsi="Cambria Math" w:cs="Cambria Math"/>
        </w:rPr>
        <w:t>‑</w:t>
      </w:r>
      <w:r>
        <w:t>list 5</w:t>
      </w:r>
      <w:r>
        <w:rPr>
          <w:rFonts w:ascii="Calibri" w:hAnsi="Calibri" w:cs="Calibri"/>
        </w:rPr>
        <w:t>–</w:t>
      </w:r>
      <w:r>
        <w:t xml:space="preserve">10%. </w:t>
      </w:r>
    </w:p>
    <w:p w14:paraId="5789E101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Facings</w:t>
      </w:r>
      <w:r w:rsidRPr="00E666E2">
        <w:t xml:space="preserve"> </w:t>
      </w:r>
      <w:r w:rsidRPr="00E666E2">
        <w:rPr>
          <w:lang w:val="el-GR"/>
        </w:rPr>
        <w:t>ΜΜΕ</w:t>
      </w:r>
      <w:r w:rsidRPr="00E666E2">
        <w:t>: &lt;10% (</w:t>
      </w:r>
      <w:r>
        <w:t>HCC</w:t>
      </w:r>
      <w:r w:rsidRPr="00E666E2">
        <w:t xml:space="preserve"> </w:t>
      </w:r>
      <w:r>
        <w:t>inquiry</w:t>
      </w:r>
      <w:r w:rsidRPr="00E666E2">
        <w:t xml:space="preserve">, </w:t>
      </w:r>
      <w:r>
        <w:t>proxy</w:t>
      </w:r>
      <w:r w:rsidRPr="00E666E2">
        <w:t>).</w:t>
      </w:r>
    </w:p>
    <w:p w14:paraId="5F89BCE7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Discounters</w:t>
      </w:r>
      <w:r w:rsidRPr="00E666E2">
        <w:t>: ~15% (</w:t>
      </w:r>
      <w:r>
        <w:t>Lidl</w:t>
      </w:r>
      <w:r w:rsidRPr="00E666E2">
        <w:t xml:space="preserve"> 2022–24), </w:t>
      </w:r>
      <w:r w:rsidRPr="00E666E2">
        <w:rPr>
          <w:lang w:val="el-GR"/>
        </w:rPr>
        <w:t>ΕΕ</w:t>
      </w:r>
      <w:r w:rsidRPr="00E666E2">
        <w:t xml:space="preserve"> 25–30%. - </w:t>
      </w:r>
      <w:r>
        <w:t>e</w:t>
      </w:r>
      <w:r w:rsidRPr="00E666E2">
        <w:rPr>
          <w:rFonts w:ascii="Cambria Math" w:hAnsi="Cambria Math" w:cs="Cambria Math"/>
        </w:rPr>
        <w:t>‑</w:t>
      </w:r>
      <w:r>
        <w:t>grocery</w:t>
      </w:r>
      <w:r w:rsidRPr="00E666E2">
        <w:t>: 2,6% (</w:t>
      </w:r>
      <w:r>
        <w:t>Convert</w:t>
      </w:r>
      <w:r w:rsidRPr="00E666E2">
        <w:t xml:space="preserve"> </w:t>
      </w:r>
      <w:r>
        <w:t>Group</w:t>
      </w:r>
      <w:r w:rsidRPr="00E666E2">
        <w:t xml:space="preserve"> 2023). </w:t>
      </w:r>
    </w:p>
    <w:p w14:paraId="4220C614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Comparator</w:t>
      </w:r>
      <w:r w:rsidRPr="00E666E2">
        <w:t xml:space="preserve"> </w:t>
      </w:r>
      <w:r>
        <w:t>usage</w:t>
      </w:r>
      <w:r w:rsidRPr="00E666E2">
        <w:t xml:space="preserve">: 10–20% </w:t>
      </w:r>
      <w:r w:rsidRPr="00E666E2">
        <w:rPr>
          <w:lang w:val="el-GR"/>
        </w:rPr>
        <w:t>τακτικοί</w:t>
      </w:r>
      <w:r w:rsidRPr="00E666E2">
        <w:t xml:space="preserve"> </w:t>
      </w:r>
      <w:r w:rsidRPr="00E666E2">
        <w:rPr>
          <w:lang w:val="el-GR"/>
        </w:rPr>
        <w:t>χρήστες</w:t>
      </w:r>
      <w:r w:rsidRPr="00E666E2">
        <w:t xml:space="preserve"> (</w:t>
      </w:r>
      <w:r>
        <w:t>proxy</w:t>
      </w:r>
      <w:r w:rsidRPr="00E666E2">
        <w:t xml:space="preserve"> </w:t>
      </w:r>
      <w:r w:rsidRPr="00E666E2">
        <w:rPr>
          <w:lang w:val="el-GR"/>
        </w:rPr>
        <w:t>από</w:t>
      </w:r>
      <w:r w:rsidRPr="00E666E2">
        <w:t xml:space="preserve"> </w:t>
      </w:r>
      <w:r>
        <w:t>online</w:t>
      </w:r>
      <w:r w:rsidRPr="00E666E2">
        <w:t xml:space="preserve"> </w:t>
      </w:r>
      <w:r>
        <w:t>research</w:t>
      </w:r>
      <w:r w:rsidRPr="00E666E2">
        <w:t>/</w:t>
      </w:r>
      <w:r>
        <w:t>ELTRUN</w:t>
      </w:r>
      <w:r w:rsidRPr="00E666E2">
        <w:t xml:space="preserve">). </w:t>
      </w:r>
    </w:p>
    <w:p w14:paraId="7E5BD723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SME</w:t>
      </w:r>
      <w:r w:rsidRPr="00E666E2">
        <w:t xml:space="preserve"> </w:t>
      </w:r>
      <w:r>
        <w:t>logistics</w:t>
      </w:r>
      <w:r w:rsidRPr="00E666E2">
        <w:t xml:space="preserve">: 10–15% </w:t>
      </w:r>
      <w:r w:rsidRPr="00E666E2">
        <w:rPr>
          <w:lang w:val="el-GR"/>
        </w:rPr>
        <w:t>τζίρου</w:t>
      </w:r>
      <w:r w:rsidRPr="00E666E2">
        <w:t xml:space="preserve"> (</w:t>
      </w:r>
      <w:r>
        <w:t>Trace</w:t>
      </w:r>
      <w:r w:rsidRPr="00E666E2">
        <w:t xml:space="preserve"> </w:t>
      </w:r>
      <w:r>
        <w:t>Research</w:t>
      </w:r>
      <w:r w:rsidRPr="00E666E2">
        <w:t xml:space="preserve">· </w:t>
      </w:r>
      <w:r w:rsidRPr="00E666E2">
        <w:rPr>
          <w:lang w:val="el-GR"/>
        </w:rPr>
        <w:t>καύσιμα</w:t>
      </w:r>
      <w:r w:rsidRPr="00E666E2">
        <w:t xml:space="preserve"> 34%). </w:t>
      </w:r>
    </w:p>
    <w:p w14:paraId="24594CCF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Import</w:t>
      </w:r>
      <w:r w:rsidRPr="00E666E2">
        <w:t xml:space="preserve"> </w:t>
      </w:r>
      <w:r>
        <w:t>clearance</w:t>
      </w:r>
      <w:r w:rsidRPr="00E666E2">
        <w:t xml:space="preserve">: ~4–5 </w:t>
      </w:r>
      <w:r w:rsidRPr="00E666E2">
        <w:rPr>
          <w:lang w:val="el-GR"/>
        </w:rPr>
        <w:t>ημέρες</w:t>
      </w:r>
      <w:r w:rsidRPr="00E666E2">
        <w:t xml:space="preserve"> </w:t>
      </w:r>
      <w:r w:rsidRPr="00E666E2">
        <w:rPr>
          <w:lang w:val="el-GR"/>
        </w:rPr>
        <w:t>Ελλάδα</w:t>
      </w:r>
      <w:r w:rsidRPr="00E666E2">
        <w:t xml:space="preserve"> </w:t>
      </w:r>
      <w:r>
        <w:t>vs</w:t>
      </w:r>
      <w:r w:rsidRPr="00E666E2">
        <w:t xml:space="preserve"> 2–3 </w:t>
      </w:r>
      <w:r w:rsidRPr="00E666E2">
        <w:rPr>
          <w:lang w:val="el-GR"/>
        </w:rPr>
        <w:t>ΕΕ</w:t>
      </w:r>
      <w:r w:rsidRPr="00E666E2">
        <w:t xml:space="preserve">. </w:t>
      </w:r>
    </w:p>
    <w:p w14:paraId="10E454AE" w14:textId="77777777" w:rsidR="00A16C33" w:rsidRPr="00E666E2" w:rsidRDefault="00A16C33" w:rsidP="00A16C33">
      <w:pPr>
        <w:pStyle w:val="FirstParagraph"/>
        <w:numPr>
          <w:ilvl w:val="0"/>
          <w:numId w:val="69"/>
        </w:numPr>
      </w:pPr>
      <w:r>
        <w:t>Pan</w:t>
      </w:r>
      <w:r w:rsidRPr="00E666E2">
        <w:rPr>
          <w:rFonts w:ascii="Cambria Math" w:hAnsi="Cambria Math" w:cs="Cambria Math"/>
        </w:rPr>
        <w:t>‑</w:t>
      </w:r>
      <w:r>
        <w:t>EU</w:t>
      </w:r>
      <w:r w:rsidRPr="00E666E2">
        <w:t xml:space="preserve"> </w:t>
      </w:r>
      <w:r>
        <w:t>packaging</w:t>
      </w:r>
      <w:r w:rsidRPr="00E666E2">
        <w:t xml:space="preserve"> </w:t>
      </w:r>
      <w:r>
        <w:t>prevalence</w:t>
      </w:r>
      <w:r w:rsidRPr="00E666E2">
        <w:t>: ~30% (</w:t>
      </w:r>
      <w:r>
        <w:t>EC</w:t>
      </w:r>
      <w:r w:rsidRPr="00E666E2">
        <w:t xml:space="preserve"> </w:t>
      </w:r>
      <w:r>
        <w:t>TSC</w:t>
      </w:r>
      <w:r w:rsidRPr="00E666E2">
        <w:t xml:space="preserve"> </w:t>
      </w:r>
      <w:r>
        <w:t>survey</w:t>
      </w:r>
      <w:r w:rsidRPr="00E666E2">
        <w:t xml:space="preserve">· </w:t>
      </w:r>
      <w:r w:rsidRPr="00E666E2">
        <w:rPr>
          <w:lang w:val="el-GR"/>
        </w:rPr>
        <w:t>Ελλάδα</w:t>
      </w:r>
      <w:r w:rsidRPr="00E666E2">
        <w:t xml:space="preserve"> &gt;50% </w:t>
      </w:r>
      <w:r>
        <w:t>bespoke</w:t>
      </w:r>
      <w:r w:rsidRPr="00E666E2">
        <w:t xml:space="preserve">, </w:t>
      </w:r>
      <w:r>
        <w:t>proxy</w:t>
      </w:r>
      <w:r w:rsidRPr="00E666E2">
        <w:t>).</w:t>
      </w:r>
    </w:p>
    <w:p w14:paraId="22914286" w14:textId="77777777" w:rsidR="00A16C33" w:rsidRDefault="00A16C33" w:rsidP="00A16C33">
      <w:r>
        <w:pict w14:anchorId="42700EE8">
          <v:rect id="_x0000_i1084" style="width:0;height:1.5pt" o:hralign="center" o:hrstd="t" o:hr="t"/>
        </w:pict>
      </w:r>
    </w:p>
    <w:p w14:paraId="39B1C1B5" w14:textId="77777777" w:rsidR="00A16C33" w:rsidRPr="00E666E2" w:rsidRDefault="00A16C33" w:rsidP="00A16C33">
      <w:pPr>
        <w:pStyle w:val="Heading2"/>
        <w:rPr>
          <w:lang w:val="el-GR"/>
        </w:rPr>
      </w:pPr>
      <w:bookmarkStart w:id="5" w:name="μεθοδολογία-ανά-πολιτική-ad"/>
      <w:bookmarkEnd w:id="4"/>
      <w:r w:rsidRPr="00E666E2">
        <w:rPr>
          <w:lang w:val="el-GR"/>
        </w:rPr>
        <w:t>4) Μεθοδολογία ανά Πολιτική (</w:t>
      </w:r>
      <w:r>
        <w:t>A</w:t>
      </w:r>
      <w:r w:rsidRPr="00E666E2">
        <w:rPr>
          <w:lang w:val="el-GR"/>
        </w:rPr>
        <w:t>–</w:t>
      </w:r>
      <w:r>
        <w:t>D</w:t>
      </w:r>
      <w:r w:rsidRPr="00E666E2">
        <w:rPr>
          <w:lang w:val="el-GR"/>
        </w:rPr>
        <w:t>)</w:t>
      </w:r>
    </w:p>
    <w:p w14:paraId="73610AFA" w14:textId="77777777" w:rsidR="00A16C33" w:rsidRPr="00E666E2" w:rsidRDefault="00A16C33" w:rsidP="00A16C33">
      <w:pPr>
        <w:pStyle w:val="FirstParagraph"/>
        <w:numPr>
          <w:ilvl w:val="0"/>
          <w:numId w:val="70"/>
        </w:numPr>
      </w:pPr>
      <w:r>
        <w:rPr>
          <w:b/>
          <w:bCs/>
        </w:rPr>
        <w:t>TSC</w:t>
      </w:r>
      <w:r>
        <w:t xml:space="preserve">: </w:t>
      </w:r>
      <w:proofErr w:type="spellStart"/>
      <w:r>
        <w:rPr>
          <w:rStyle w:val="VerbatimChar"/>
        </w:rPr>
        <w:t>SKU_Audit</w:t>
      </w:r>
      <w:proofErr w:type="spellEnd"/>
      <w:r>
        <w:t xml:space="preserve">, </w:t>
      </w:r>
      <w:proofErr w:type="spellStart"/>
      <w:r>
        <w:rPr>
          <w:rStyle w:val="VerbatimChar"/>
        </w:rPr>
        <w:t>Compliance_Timings</w:t>
      </w:r>
      <w:proofErr w:type="spellEnd"/>
      <w:r>
        <w:t xml:space="preserve">, </w:t>
      </w:r>
      <w:proofErr w:type="spellStart"/>
      <w:r>
        <w:rPr>
          <w:rStyle w:val="VerbatimChar"/>
        </w:rPr>
        <w:t>SME_Logistics</w:t>
      </w:r>
      <w:proofErr w:type="spellEnd"/>
      <w:r>
        <w:t xml:space="preserve">. </w:t>
      </w:r>
    </w:p>
    <w:p w14:paraId="6CEF0AEF" w14:textId="77777777" w:rsidR="00A16C33" w:rsidRPr="00E666E2" w:rsidRDefault="00A16C33" w:rsidP="00A16C33">
      <w:pPr>
        <w:pStyle w:val="FirstParagraph"/>
        <w:numPr>
          <w:ilvl w:val="0"/>
          <w:numId w:val="70"/>
        </w:numPr>
      </w:pPr>
      <w:r>
        <w:rPr>
          <w:b/>
          <w:bCs/>
        </w:rPr>
        <w:t>Net Price</w:t>
      </w:r>
      <w:r>
        <w:t xml:space="preserve">: </w:t>
      </w:r>
      <w:proofErr w:type="spellStart"/>
      <w:r>
        <w:rPr>
          <w:rStyle w:val="VerbatimChar"/>
        </w:rPr>
        <w:t>Net_vs_List</w:t>
      </w:r>
      <w:proofErr w:type="spellEnd"/>
      <w:r>
        <w:t xml:space="preserve">, </w:t>
      </w:r>
      <w:r>
        <w:rPr>
          <w:rStyle w:val="VerbatimChar"/>
        </w:rPr>
        <w:t>Coverage</w:t>
      </w:r>
      <w:r>
        <w:t xml:space="preserve">. </w:t>
      </w:r>
    </w:p>
    <w:p w14:paraId="2983653E" w14:textId="77777777" w:rsidR="00A16C33" w:rsidRPr="00E666E2" w:rsidRDefault="00A16C33" w:rsidP="00A16C33">
      <w:pPr>
        <w:pStyle w:val="FirstParagraph"/>
        <w:numPr>
          <w:ilvl w:val="0"/>
          <w:numId w:val="70"/>
        </w:numPr>
      </w:pPr>
      <w:r>
        <w:rPr>
          <w:b/>
          <w:bCs/>
        </w:rPr>
        <w:t>Vertical restraints</w:t>
      </w:r>
      <w:r>
        <w:t xml:space="preserve">: </w:t>
      </w:r>
      <w:proofErr w:type="spellStart"/>
      <w:r>
        <w:rPr>
          <w:rStyle w:val="VerbatimChar"/>
        </w:rPr>
        <w:t>HCC_Cases</w:t>
      </w:r>
      <w:proofErr w:type="spellEnd"/>
      <w:r>
        <w:t xml:space="preserve">, </w:t>
      </w:r>
      <w:proofErr w:type="spellStart"/>
      <w:r>
        <w:rPr>
          <w:rStyle w:val="VerbatimChar"/>
        </w:rPr>
        <w:t>IntraBrand_Spread</w:t>
      </w:r>
      <w:proofErr w:type="spellEnd"/>
      <w:r>
        <w:t xml:space="preserve">. </w:t>
      </w:r>
    </w:p>
    <w:p w14:paraId="30CFBD16" w14:textId="77777777" w:rsidR="00A16C33" w:rsidRDefault="00A16C33" w:rsidP="00A16C33">
      <w:pPr>
        <w:pStyle w:val="FirstParagraph"/>
        <w:numPr>
          <w:ilvl w:val="0"/>
          <w:numId w:val="70"/>
        </w:numPr>
      </w:pPr>
      <w:r>
        <w:rPr>
          <w:b/>
          <w:bCs/>
        </w:rPr>
        <w:t>Contestability</w:t>
      </w:r>
      <w:r>
        <w:t xml:space="preserve">: </w:t>
      </w:r>
      <w:proofErr w:type="spellStart"/>
      <w:r>
        <w:rPr>
          <w:rStyle w:val="VerbatimChar"/>
        </w:rPr>
        <w:t>Shelf_Facings</w:t>
      </w:r>
      <w:proofErr w:type="spellEnd"/>
      <w:r>
        <w:t xml:space="preserve">, </w:t>
      </w:r>
      <w:proofErr w:type="spellStart"/>
      <w:r>
        <w:rPr>
          <w:rStyle w:val="VerbatimChar"/>
        </w:rPr>
        <w:t>Channel_Share</w:t>
      </w:r>
      <w:proofErr w:type="spellEnd"/>
      <w:r>
        <w:t xml:space="preserve">, </w:t>
      </w:r>
      <w:proofErr w:type="spellStart"/>
      <w:r>
        <w:rPr>
          <w:rStyle w:val="VerbatimChar"/>
        </w:rPr>
        <w:t>Comparator_Usage</w:t>
      </w:r>
      <w:proofErr w:type="spellEnd"/>
      <w:r>
        <w:t>.</w:t>
      </w:r>
    </w:p>
    <w:p w14:paraId="2C95CC5C" w14:textId="77777777" w:rsidR="00A16C33" w:rsidRDefault="00A16C33" w:rsidP="00A16C33">
      <w:r>
        <w:pict w14:anchorId="5FF8B099">
          <v:rect id="_x0000_i1085" style="width:0;height:1.5pt" o:hralign="center" o:hrstd="t" o:hr="t"/>
        </w:pict>
      </w:r>
    </w:p>
    <w:p w14:paraId="09CDB752" w14:textId="77777777" w:rsidR="00A16C33" w:rsidRDefault="00A16C33" w:rsidP="00A16C33">
      <w:pPr>
        <w:pStyle w:val="Heading2"/>
      </w:pPr>
      <w:bookmarkStart w:id="6" w:name="πηγές-ενεργοί-σύνδεσμοι"/>
      <w:bookmarkEnd w:id="5"/>
      <w:r>
        <w:rPr>
          <w:lang w:val="el-GR"/>
        </w:rPr>
        <w:t>5</w:t>
      </w:r>
      <w:r>
        <w:t xml:space="preserve">) </w:t>
      </w:r>
      <w:proofErr w:type="spellStart"/>
      <w:r>
        <w:t>Πηγές</w:t>
      </w:r>
      <w:proofErr w:type="spellEnd"/>
      <w:r>
        <w:t xml:space="preserve"> (</w:t>
      </w:r>
      <w:proofErr w:type="spellStart"/>
      <w:r>
        <w:t>ενεργοί</w:t>
      </w:r>
      <w:proofErr w:type="spellEnd"/>
      <w:r>
        <w:t xml:space="preserve"> </w:t>
      </w:r>
      <w:proofErr w:type="spellStart"/>
      <w:r>
        <w:t>σύνδεσμοι</w:t>
      </w:r>
      <w:proofErr w:type="spellEnd"/>
      <w:r>
        <w:t>)</w:t>
      </w:r>
    </w:p>
    <w:p w14:paraId="33FE8CB9" w14:textId="77777777" w:rsidR="00A16C33" w:rsidRDefault="00A16C33" w:rsidP="00A16C33">
      <w:pPr>
        <w:pStyle w:val="Compact"/>
        <w:numPr>
          <w:ilvl w:val="0"/>
          <w:numId w:val="68"/>
        </w:numPr>
      </w:pPr>
      <w:r>
        <w:t xml:space="preserve">ΑΑΔΕ – </w:t>
      </w:r>
      <w:proofErr w:type="spellStart"/>
      <w:r>
        <w:t>myDATA</w:t>
      </w:r>
      <w:proofErr w:type="spellEnd"/>
      <w:r>
        <w:t xml:space="preserve"> (e</w:t>
      </w:r>
      <w:r>
        <w:rPr>
          <w:rFonts w:ascii="Cambria Math" w:hAnsi="Cambria Math" w:cs="Cambria Math"/>
        </w:rPr>
        <w:t>‑</w:t>
      </w:r>
      <w:r>
        <w:t>invoicing): https://www.aade.gr/mydata</w:t>
      </w:r>
    </w:p>
    <w:p w14:paraId="47695712" w14:textId="77777777" w:rsidR="00A16C33" w:rsidRDefault="00A16C33" w:rsidP="00A16C33">
      <w:pPr>
        <w:pStyle w:val="Compact"/>
        <w:numPr>
          <w:ilvl w:val="0"/>
          <w:numId w:val="68"/>
        </w:numPr>
      </w:pPr>
      <w:r>
        <w:t>ΑΑΔΕ – POS: https://www.aade.gr</w:t>
      </w:r>
    </w:p>
    <w:p w14:paraId="2F3E1A6B" w14:textId="77777777" w:rsidR="00A16C33" w:rsidRDefault="00A16C33" w:rsidP="00A16C33">
      <w:pPr>
        <w:pStyle w:val="Compact"/>
        <w:numPr>
          <w:ilvl w:val="0"/>
          <w:numId w:val="68"/>
        </w:numPr>
      </w:pPr>
      <w:r>
        <w:t>HCC – Reports/PR: https://www.epant.gr/en/enimerosi/press-releases.html</w:t>
      </w:r>
    </w:p>
    <w:p w14:paraId="7C883C48" w14:textId="77777777" w:rsidR="00A16C33" w:rsidRDefault="00A16C33" w:rsidP="00A16C33">
      <w:pPr>
        <w:pStyle w:val="Compact"/>
        <w:numPr>
          <w:ilvl w:val="0"/>
          <w:numId w:val="68"/>
        </w:numPr>
      </w:pPr>
      <w:r>
        <w:t>EC – Territorial Supply Constraints: https://competition-policy.ec.europa.eu/public-consultations/2019-territorial-supply-constraints_en</w:t>
      </w:r>
    </w:p>
    <w:p w14:paraId="117D85F4" w14:textId="77777777" w:rsidR="00A16C33" w:rsidRDefault="00A16C33" w:rsidP="00A16C33">
      <w:pPr>
        <w:pStyle w:val="Compact"/>
        <w:numPr>
          <w:ilvl w:val="0"/>
          <w:numId w:val="68"/>
        </w:numPr>
      </w:pPr>
      <w:r>
        <w:t xml:space="preserve">Convert Group – </w:t>
      </w:r>
      <w:proofErr w:type="spellStart"/>
      <w:r>
        <w:t>eGrocery</w:t>
      </w:r>
      <w:proofErr w:type="spellEnd"/>
      <w:r>
        <w:t>: https://www.convertgroup.com</w:t>
      </w:r>
    </w:p>
    <w:p w14:paraId="1788956B" w14:textId="77777777" w:rsidR="00A16C33" w:rsidRDefault="00A16C33" w:rsidP="00A16C33">
      <w:pPr>
        <w:pStyle w:val="Compact"/>
        <w:numPr>
          <w:ilvl w:val="0"/>
          <w:numId w:val="68"/>
        </w:numPr>
      </w:pPr>
      <w:proofErr w:type="spellStart"/>
      <w:r>
        <w:t>Circana</w:t>
      </w:r>
      <w:proofErr w:type="spellEnd"/>
      <w:r>
        <w:t xml:space="preserve"> – FMCG GR: https://www.circana.com</w:t>
      </w:r>
    </w:p>
    <w:p w14:paraId="6DD8F10D" w14:textId="77777777" w:rsidR="00A16C33" w:rsidRDefault="00A16C33" w:rsidP="00A16C33">
      <w:pPr>
        <w:pStyle w:val="Compact"/>
        <w:numPr>
          <w:ilvl w:val="0"/>
          <w:numId w:val="68"/>
        </w:numPr>
      </w:pPr>
      <w:proofErr w:type="spellStart"/>
      <w:r>
        <w:t>ContactPigeon</w:t>
      </w:r>
      <w:proofErr w:type="spellEnd"/>
      <w:r>
        <w:t xml:space="preserve"> – Lidl Greece: https://blog.contactpigeon.com/lidl-greece/</w:t>
      </w:r>
    </w:p>
    <w:p w14:paraId="36A46EFE" w14:textId="77777777" w:rsidR="00A16C33" w:rsidRDefault="00A16C33" w:rsidP="00A16C33">
      <w:pPr>
        <w:pStyle w:val="Compact"/>
        <w:numPr>
          <w:ilvl w:val="0"/>
          <w:numId w:val="68"/>
        </w:numPr>
      </w:pPr>
      <w:r>
        <w:lastRenderedPageBreak/>
        <w:t>World Bank / UNECE – Trading Across Borders: https://tradingacrossborders.worldbank.org</w:t>
      </w:r>
    </w:p>
    <w:p w14:paraId="5D42D612" w14:textId="77777777" w:rsidR="00A16C33" w:rsidRDefault="00A16C33" w:rsidP="00A16C33">
      <w:pPr>
        <w:pStyle w:val="Compact"/>
        <w:numPr>
          <w:ilvl w:val="0"/>
          <w:numId w:val="68"/>
        </w:numPr>
      </w:pPr>
      <w:r>
        <w:t>Trace Research – Logistics: https://traceresearch.gr</w:t>
      </w:r>
    </w:p>
    <w:p w14:paraId="681B5B89" w14:textId="77777777" w:rsidR="00A16C33" w:rsidRDefault="00A16C33" w:rsidP="00A16C33">
      <w:pPr>
        <w:pStyle w:val="Compact"/>
        <w:numPr>
          <w:ilvl w:val="0"/>
          <w:numId w:val="68"/>
        </w:numPr>
      </w:pPr>
      <w:r>
        <w:t>Greek eCommerce / ELTRUN: https://www.greekecommerce.gr</w:t>
      </w:r>
    </w:p>
    <w:p w14:paraId="7C937F4B" w14:textId="77777777" w:rsidR="00A16C33" w:rsidRDefault="00A16C33" w:rsidP="00A16C33">
      <w:r>
        <w:pict w14:anchorId="629BD803">
          <v:rect id="_x0000_i1086" style="width:0;height:1.5pt" o:hralign="center" o:hrstd="t" o:hr="t"/>
        </w:pict>
      </w:r>
    </w:p>
    <w:p w14:paraId="418748FF" w14:textId="77777777" w:rsidR="00A16C33" w:rsidRPr="0089101B" w:rsidRDefault="00A16C33" w:rsidP="00A16C33">
      <w:pPr>
        <w:pStyle w:val="Heading2"/>
        <w:rPr>
          <w:lang w:val="el-GR"/>
        </w:rPr>
      </w:pPr>
      <w:bookmarkStart w:id="7" w:name="οδικός-χάρτης-συμπλήρωσης-κενών"/>
      <w:bookmarkEnd w:id="6"/>
      <w:r>
        <w:rPr>
          <w:lang w:val="el-GR"/>
        </w:rPr>
        <w:t>6</w:t>
      </w:r>
      <w:r w:rsidRPr="0089101B">
        <w:rPr>
          <w:lang w:val="el-GR"/>
        </w:rPr>
        <w:t xml:space="preserve">) </w:t>
      </w:r>
      <w:r>
        <w:rPr>
          <w:lang w:val="el-GR"/>
        </w:rPr>
        <w:t>Κύρια Ευρήματα</w:t>
      </w:r>
    </w:p>
    <w:bookmarkEnd w:id="0"/>
    <w:bookmarkEnd w:id="7"/>
    <w:p w14:paraId="7E083613" w14:textId="77777777" w:rsidR="00A16C33" w:rsidRPr="0089101B" w:rsidRDefault="00A16C33" w:rsidP="00A16C33">
      <w:pPr>
        <w:pStyle w:val="FirstParagraph"/>
        <w:rPr>
          <w:b/>
          <w:bCs/>
          <w:lang w:val="el-GR"/>
        </w:rPr>
      </w:pPr>
      <w:r w:rsidRPr="0089101B">
        <w:rPr>
          <w:b/>
          <w:bCs/>
          <w:lang w:val="el-GR"/>
        </w:rPr>
        <w:t>1) Συγκέντρωση αγοράς (</w:t>
      </w:r>
      <w:r w:rsidRPr="0089101B">
        <w:rPr>
          <w:b/>
          <w:bCs/>
        </w:rPr>
        <w:t>CR</w:t>
      </w:r>
      <w:r w:rsidRPr="0089101B">
        <w:rPr>
          <w:b/>
          <w:bCs/>
          <w:lang w:val="el-GR"/>
        </w:rPr>
        <w:t>4/</w:t>
      </w:r>
      <w:r w:rsidRPr="0089101B">
        <w:rPr>
          <w:b/>
          <w:bCs/>
        </w:rPr>
        <w:t>HHI</w:t>
      </w:r>
      <w:r w:rsidRPr="0089101B">
        <w:rPr>
          <w:b/>
          <w:bCs/>
          <w:lang w:val="el-GR"/>
        </w:rPr>
        <w:t>)</w:t>
      </w:r>
    </w:p>
    <w:p w14:paraId="1C0F7622" w14:textId="77777777" w:rsidR="00A16C33" w:rsidRPr="0089101B" w:rsidRDefault="00A16C33" w:rsidP="00A16C33">
      <w:pPr>
        <w:pStyle w:val="FirstParagraph"/>
      </w:pPr>
      <w:proofErr w:type="spellStart"/>
      <w:r w:rsidRPr="0089101B">
        <w:rPr>
          <w:b/>
          <w:bCs/>
        </w:rPr>
        <w:t>Πηγή</w:t>
      </w:r>
      <w:proofErr w:type="spellEnd"/>
      <w:r w:rsidRPr="0089101B">
        <w:rPr>
          <w:b/>
          <w:bCs/>
        </w:rPr>
        <w:t>:</w:t>
      </w:r>
      <w:r w:rsidRPr="0089101B">
        <w:t xml:space="preserve"> </w:t>
      </w:r>
      <w:proofErr w:type="spellStart"/>
      <w:r w:rsidRPr="0089101B">
        <w:t>Market_Structure_Aggregates</w:t>
      </w:r>
      <w:proofErr w:type="spellEnd"/>
      <w:r w:rsidRPr="0089101B">
        <w:t xml:space="preserve"> και </w:t>
      </w:r>
      <w:proofErr w:type="spellStart"/>
      <w:r w:rsidRPr="0089101B">
        <w:t>Market_Structure</w:t>
      </w:r>
      <w:proofErr w:type="spellEnd"/>
    </w:p>
    <w:p w14:paraId="1833BA50" w14:textId="77777777" w:rsidR="00A16C33" w:rsidRPr="0089101B" w:rsidRDefault="00A16C33" w:rsidP="00A16C33">
      <w:pPr>
        <w:pStyle w:val="FirstParagraph"/>
        <w:numPr>
          <w:ilvl w:val="0"/>
          <w:numId w:val="71"/>
        </w:numPr>
        <w:rPr>
          <w:lang w:val="el-GR"/>
        </w:rPr>
      </w:pPr>
      <w:r w:rsidRPr="0089101B">
        <w:rPr>
          <w:b/>
          <w:bCs/>
        </w:rPr>
        <w:t>Supermarkets (Retail market, proxy shares)</w:t>
      </w:r>
      <w:r w:rsidRPr="0089101B">
        <w:br/>
        <w:t xml:space="preserve">– </w:t>
      </w:r>
      <w:r w:rsidRPr="0089101B">
        <w:rPr>
          <w:b/>
          <w:bCs/>
        </w:rPr>
        <w:t>CR4</w:t>
      </w:r>
      <w:r w:rsidRPr="0089101B">
        <w:t xml:space="preserve">: από </w:t>
      </w:r>
      <w:r w:rsidRPr="0089101B">
        <w:rPr>
          <w:b/>
          <w:bCs/>
        </w:rPr>
        <w:t>82,3% (2023)</w:t>
      </w:r>
      <w:r w:rsidRPr="0089101B">
        <w:t xml:space="preserve"> </w:t>
      </w:r>
      <w:proofErr w:type="spellStart"/>
      <w:r w:rsidRPr="0089101B">
        <w:t>σε</w:t>
      </w:r>
      <w:proofErr w:type="spellEnd"/>
      <w:r w:rsidRPr="0089101B">
        <w:t xml:space="preserve"> </w:t>
      </w:r>
      <w:r w:rsidRPr="0089101B">
        <w:rPr>
          <w:b/>
          <w:bCs/>
        </w:rPr>
        <w:t>81,8% (2024)</w:t>
      </w:r>
      <w:r w:rsidRPr="0089101B">
        <w:t xml:space="preserve"> (</w:t>
      </w:r>
      <w:r w:rsidRPr="0089101B">
        <w:rPr>
          <w:b/>
          <w:bCs/>
        </w:rPr>
        <w:t>–0,5 π.μ.</w:t>
      </w:r>
      <w:r w:rsidRPr="0089101B">
        <w:t>).</w:t>
      </w:r>
      <w:r w:rsidRPr="0089101B">
        <w:br/>
        <w:t xml:space="preserve">– </w:t>
      </w:r>
      <w:r w:rsidRPr="0089101B">
        <w:rPr>
          <w:b/>
          <w:bCs/>
        </w:rPr>
        <w:t>HHI</w:t>
      </w:r>
      <w:r w:rsidRPr="0089101B">
        <w:t xml:space="preserve">: από </w:t>
      </w:r>
      <w:r w:rsidRPr="0089101B">
        <w:rPr>
          <w:b/>
          <w:bCs/>
        </w:rPr>
        <w:t>2.460,6 (2023)</w:t>
      </w:r>
      <w:r w:rsidRPr="0089101B">
        <w:t xml:space="preserve"> </w:t>
      </w:r>
      <w:proofErr w:type="spellStart"/>
      <w:r w:rsidRPr="0089101B">
        <w:t>σε</w:t>
      </w:r>
      <w:proofErr w:type="spellEnd"/>
      <w:r w:rsidRPr="0089101B">
        <w:t xml:space="preserve"> </w:t>
      </w:r>
      <w:r w:rsidRPr="0089101B">
        <w:rPr>
          <w:b/>
          <w:bCs/>
        </w:rPr>
        <w:t>2.350,3 (2024)</w:t>
      </w:r>
      <w:r w:rsidRPr="0089101B">
        <w:t xml:space="preserve"> (</w:t>
      </w:r>
      <w:r w:rsidRPr="0089101B">
        <w:rPr>
          <w:b/>
          <w:bCs/>
        </w:rPr>
        <w:t xml:space="preserve">–110,4 </w:t>
      </w:r>
      <w:proofErr w:type="spellStart"/>
      <w:r w:rsidRPr="0089101B">
        <w:rPr>
          <w:b/>
          <w:bCs/>
        </w:rPr>
        <w:t>μονάδες</w:t>
      </w:r>
      <w:proofErr w:type="spellEnd"/>
      <w:r w:rsidRPr="0089101B">
        <w:t>, ~</w:t>
      </w:r>
      <w:r w:rsidRPr="0089101B">
        <w:rPr>
          <w:b/>
          <w:bCs/>
        </w:rPr>
        <w:t>–4,5%</w:t>
      </w:r>
      <w:r w:rsidRPr="0089101B">
        <w:t>).</w:t>
      </w:r>
      <w:r w:rsidRPr="0089101B">
        <w:br/>
        <w:t xml:space="preserve">– </w:t>
      </w:r>
      <w:proofErr w:type="spellStart"/>
      <w:r w:rsidRPr="0089101B">
        <w:rPr>
          <w:b/>
          <w:bCs/>
        </w:rPr>
        <w:t>Ερμηνεί</w:t>
      </w:r>
      <w:proofErr w:type="spellEnd"/>
      <w:r w:rsidRPr="0089101B">
        <w:rPr>
          <w:b/>
          <w:bCs/>
        </w:rPr>
        <w:t>α:</w:t>
      </w:r>
      <w:r w:rsidRPr="0089101B">
        <w:t xml:space="preserve"> </w:t>
      </w:r>
      <w:proofErr w:type="spellStart"/>
      <w:r w:rsidRPr="0089101B">
        <w:t>Το</w:t>
      </w:r>
      <w:proofErr w:type="spellEnd"/>
      <w:r w:rsidRPr="0089101B">
        <w:t xml:space="preserve"> επίπ</w:t>
      </w:r>
      <w:proofErr w:type="spellStart"/>
      <w:r w:rsidRPr="0089101B">
        <w:t>εδο</w:t>
      </w:r>
      <w:proofErr w:type="spellEnd"/>
      <w:r w:rsidRPr="0089101B">
        <w:t xml:space="preserve"> HHI &gt;2.000 υπ</w:t>
      </w:r>
      <w:proofErr w:type="spellStart"/>
      <w:r w:rsidRPr="0089101B">
        <w:t>οδηλώνει</w:t>
      </w:r>
      <w:proofErr w:type="spellEnd"/>
      <w:r w:rsidRPr="0089101B">
        <w:t xml:space="preserve"> </w:t>
      </w:r>
      <w:proofErr w:type="spellStart"/>
      <w:r w:rsidRPr="0089101B">
        <w:rPr>
          <w:b/>
          <w:bCs/>
        </w:rPr>
        <w:t>υψηλή</w:t>
      </w:r>
      <w:proofErr w:type="spellEnd"/>
      <w:r w:rsidRPr="0089101B">
        <w:rPr>
          <w:b/>
          <w:bCs/>
        </w:rPr>
        <w:t xml:space="preserve"> </w:t>
      </w:r>
      <w:proofErr w:type="spellStart"/>
      <w:r w:rsidRPr="0089101B">
        <w:rPr>
          <w:b/>
          <w:bCs/>
        </w:rPr>
        <w:t>συγκέντρωση</w:t>
      </w:r>
      <w:proofErr w:type="spellEnd"/>
      <w:r w:rsidRPr="0089101B">
        <w:t xml:space="preserve"> (</w:t>
      </w:r>
      <w:proofErr w:type="spellStart"/>
      <w:r w:rsidRPr="0089101B">
        <w:t>ολιγο</w:t>
      </w:r>
      <w:proofErr w:type="spellEnd"/>
      <w:r w:rsidRPr="0089101B">
        <w:t xml:space="preserve">πωλιακή </w:t>
      </w:r>
      <w:proofErr w:type="spellStart"/>
      <w:r w:rsidRPr="0089101B">
        <w:t>δομή</w:t>
      </w:r>
      <w:proofErr w:type="spellEnd"/>
      <w:r w:rsidRPr="0089101B">
        <w:t xml:space="preserve">). </w:t>
      </w:r>
      <w:r w:rsidRPr="0089101B">
        <w:rPr>
          <w:lang w:val="el-GR"/>
        </w:rPr>
        <w:t xml:space="preserve">Η μικρή βελτίωση 2024 είναι υπαρκτή αλλά </w:t>
      </w:r>
      <w:r w:rsidRPr="0089101B">
        <w:rPr>
          <w:b/>
          <w:bCs/>
          <w:lang w:val="el-GR"/>
        </w:rPr>
        <w:t>οριακή</w:t>
      </w:r>
      <w:r w:rsidRPr="0089101B">
        <w:rPr>
          <w:lang w:val="el-GR"/>
        </w:rPr>
        <w:t xml:space="preserve">: δεν αλλάζει το βασικό συμπέρασμα ότι πρόκειται για </w:t>
      </w:r>
      <w:r w:rsidRPr="0089101B">
        <w:rPr>
          <w:b/>
          <w:bCs/>
          <w:lang w:val="el-GR"/>
        </w:rPr>
        <w:t>σφιχτό 4-άρι</w:t>
      </w:r>
      <w:r w:rsidRPr="0089101B">
        <w:rPr>
          <w:lang w:val="el-GR"/>
        </w:rPr>
        <w:t>.</w:t>
      </w:r>
    </w:p>
    <w:p w14:paraId="137F5F3D" w14:textId="77777777" w:rsidR="00A16C33" w:rsidRPr="0089101B" w:rsidRDefault="00A16C33" w:rsidP="00A16C33">
      <w:pPr>
        <w:pStyle w:val="FirstParagraph"/>
        <w:numPr>
          <w:ilvl w:val="0"/>
          <w:numId w:val="71"/>
        </w:numPr>
        <w:rPr>
          <w:lang w:val="el-GR"/>
        </w:rPr>
      </w:pPr>
      <w:r w:rsidRPr="0089101B">
        <w:rPr>
          <w:b/>
          <w:bCs/>
          <w:lang w:val="el-GR"/>
        </w:rPr>
        <w:t>Κατανομή μεριδίων 2024 (</w:t>
      </w:r>
      <w:r w:rsidRPr="0089101B">
        <w:rPr>
          <w:b/>
          <w:bCs/>
        </w:rPr>
        <w:t>proxy</w:t>
      </w:r>
      <w:r w:rsidRPr="0089101B">
        <w:rPr>
          <w:b/>
          <w:bCs/>
          <w:lang w:val="el-GR"/>
        </w:rPr>
        <w:t xml:space="preserve">, βλ. </w:t>
      </w:r>
      <w:r w:rsidRPr="0089101B">
        <w:rPr>
          <w:b/>
          <w:bCs/>
        </w:rPr>
        <w:t>Market</w:t>
      </w:r>
      <w:r w:rsidRPr="0089101B">
        <w:rPr>
          <w:b/>
          <w:bCs/>
          <w:lang w:val="el-GR"/>
        </w:rPr>
        <w:t>_</w:t>
      </w:r>
      <w:r w:rsidRPr="0089101B">
        <w:rPr>
          <w:b/>
          <w:bCs/>
        </w:rPr>
        <w:t>Structure</w:t>
      </w:r>
      <w:r w:rsidRPr="0089101B">
        <w:rPr>
          <w:b/>
          <w:bCs/>
          <w:lang w:val="el-GR"/>
        </w:rPr>
        <w:t>)</w:t>
      </w:r>
      <w:r w:rsidRPr="0089101B">
        <w:rPr>
          <w:lang w:val="el-GR"/>
        </w:rPr>
        <w:br/>
        <w:t xml:space="preserve">– </w:t>
      </w:r>
      <w:r w:rsidRPr="0089101B">
        <w:t>Sklavenitis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42,6%</w:t>
      </w:r>
      <w:r w:rsidRPr="0089101B">
        <w:rPr>
          <w:lang w:val="el-GR"/>
        </w:rPr>
        <w:t xml:space="preserve"> (από 43,7%), </w:t>
      </w:r>
      <w:r w:rsidRPr="0089101B">
        <w:t>AB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16,3%</w:t>
      </w:r>
      <w:r w:rsidRPr="0089101B">
        <w:rPr>
          <w:lang w:val="el-GR"/>
        </w:rPr>
        <w:t xml:space="preserve"> (από 16,7%), </w:t>
      </w:r>
      <w:r w:rsidRPr="0089101B">
        <w:t>Metro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13,4%</w:t>
      </w:r>
      <w:r w:rsidRPr="0089101B">
        <w:rPr>
          <w:lang w:val="el-GR"/>
        </w:rPr>
        <w:t xml:space="preserve"> (σταθερό), </w:t>
      </w:r>
      <w:proofErr w:type="spellStart"/>
      <w:r w:rsidRPr="0089101B">
        <w:t>Masoutis</w:t>
      </w:r>
      <w:proofErr w:type="spellEnd"/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9,5%</w:t>
      </w:r>
      <w:r w:rsidRPr="0089101B">
        <w:rPr>
          <w:lang w:val="el-GR"/>
        </w:rPr>
        <w:t xml:space="preserve"> (από 8,5%).</w:t>
      </w:r>
      <w:r w:rsidRPr="0089101B">
        <w:rPr>
          <w:lang w:val="el-GR"/>
        </w:rPr>
        <w:br/>
        <w:t xml:space="preserve">– Το </w:t>
      </w:r>
      <w:r w:rsidRPr="0089101B">
        <w:t>HHI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2.350,3</w:t>
      </w:r>
      <w:r w:rsidRPr="0089101B">
        <w:rPr>
          <w:lang w:val="el-GR"/>
        </w:rPr>
        <w:t xml:space="preserve"> που δίνει το αρχείο συμπίπτει με το </w:t>
      </w:r>
      <w:r w:rsidRPr="0089101B">
        <w:rPr>
          <w:b/>
          <w:bCs/>
          <w:lang w:val="el-GR"/>
        </w:rPr>
        <w:t>άθροισμα τετραγώνων</w:t>
      </w:r>
      <w:r w:rsidRPr="0089101B">
        <w:rPr>
          <w:lang w:val="el-GR"/>
        </w:rPr>
        <w:t xml:space="preserve"> αυτών των μεριδίων, άρα </w:t>
      </w:r>
      <w:r w:rsidRPr="0089101B">
        <w:rPr>
          <w:b/>
          <w:bCs/>
          <w:lang w:val="el-GR"/>
        </w:rPr>
        <w:t>η συγκέντρωση “εξηγείται” κυρίως από τους 4 πρώτους</w:t>
      </w:r>
      <w:r w:rsidRPr="0089101B">
        <w:rPr>
          <w:lang w:val="el-GR"/>
        </w:rPr>
        <w:t>.</w:t>
      </w:r>
    </w:p>
    <w:p w14:paraId="18756847" w14:textId="77777777" w:rsidR="00A16C33" w:rsidRPr="0089101B" w:rsidRDefault="00A16C33" w:rsidP="00A16C33">
      <w:pPr>
        <w:pStyle w:val="FirstParagraph"/>
        <w:numPr>
          <w:ilvl w:val="0"/>
          <w:numId w:val="71"/>
        </w:numPr>
        <w:rPr>
          <w:lang w:val="el-GR"/>
        </w:rPr>
      </w:pPr>
      <w:r w:rsidRPr="0089101B">
        <w:rPr>
          <w:b/>
          <w:bCs/>
          <w:lang w:val="el-GR"/>
        </w:rPr>
        <w:t xml:space="preserve">Άλλος κλάδος δείγμα (για αντίστιξη): </w:t>
      </w:r>
      <w:r w:rsidRPr="0089101B">
        <w:rPr>
          <w:b/>
          <w:bCs/>
        </w:rPr>
        <w:t>Appliances</w:t>
      </w:r>
      <w:r w:rsidRPr="0089101B">
        <w:rPr>
          <w:b/>
          <w:bCs/>
          <w:lang w:val="el-GR"/>
        </w:rPr>
        <w:t xml:space="preserve"> &amp; </w:t>
      </w:r>
      <w:r w:rsidRPr="0089101B">
        <w:rPr>
          <w:b/>
          <w:bCs/>
        </w:rPr>
        <w:t>Electronics</w:t>
      </w:r>
      <w:r w:rsidRPr="0089101B">
        <w:rPr>
          <w:b/>
          <w:bCs/>
          <w:lang w:val="el-GR"/>
        </w:rPr>
        <w:t xml:space="preserve"> </w:t>
      </w:r>
      <w:r w:rsidRPr="0089101B">
        <w:rPr>
          <w:b/>
          <w:bCs/>
        </w:rPr>
        <w:t>retail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</w:rPr>
        <w:t>CR</w:t>
      </w:r>
      <w:r w:rsidRPr="0089101B">
        <w:rPr>
          <w:b/>
          <w:bCs/>
          <w:lang w:val="el-GR"/>
        </w:rPr>
        <w:t>4 39,9%</w:t>
      </w:r>
      <w:r w:rsidRPr="0089101B">
        <w:rPr>
          <w:lang w:val="el-GR"/>
        </w:rPr>
        <w:t xml:space="preserve">, </w:t>
      </w:r>
      <w:r w:rsidRPr="0089101B">
        <w:rPr>
          <w:b/>
          <w:bCs/>
        </w:rPr>
        <w:t>HHI</w:t>
      </w:r>
      <w:r w:rsidRPr="0089101B">
        <w:rPr>
          <w:b/>
          <w:bCs/>
          <w:lang w:val="el-GR"/>
        </w:rPr>
        <w:t xml:space="preserve"> 553,7</w:t>
      </w:r>
      <w:r w:rsidRPr="0089101B">
        <w:rPr>
          <w:lang w:val="el-GR"/>
        </w:rPr>
        <w:t xml:space="preserve"> → </w:t>
      </w:r>
      <w:r w:rsidRPr="0089101B">
        <w:rPr>
          <w:b/>
          <w:bCs/>
          <w:lang w:val="el-GR"/>
        </w:rPr>
        <w:t>κατακερματισμένη</w:t>
      </w:r>
      <w:r w:rsidRPr="0089101B">
        <w:rPr>
          <w:lang w:val="el-GR"/>
        </w:rPr>
        <w:t xml:space="preserve"> αγορά, πολύ διαφορετική από τα τρόφιμα.</w:t>
      </w:r>
    </w:p>
    <w:p w14:paraId="6B2E1959" w14:textId="77777777" w:rsidR="00A16C33" w:rsidRPr="0089101B" w:rsidRDefault="00A16C33" w:rsidP="00A16C33">
      <w:pPr>
        <w:pStyle w:val="FirstParagraph"/>
        <w:rPr>
          <w:lang w:val="el-GR"/>
        </w:rPr>
      </w:pPr>
      <w:r w:rsidRPr="0089101B">
        <w:rPr>
          <w:b/>
          <w:bCs/>
          <w:lang w:val="el-GR"/>
        </w:rPr>
        <w:t>Συμπέρασμα:</w:t>
      </w:r>
      <w:r w:rsidRPr="0089101B">
        <w:rPr>
          <w:lang w:val="el-GR"/>
        </w:rPr>
        <w:br/>
        <w:t xml:space="preserve">Η λιανική τροφίμων παραμένει </w:t>
      </w:r>
      <w:r w:rsidRPr="0089101B">
        <w:rPr>
          <w:b/>
          <w:bCs/>
          <w:lang w:val="el-GR"/>
        </w:rPr>
        <w:t>υψηλά συγκεντρωμένη</w:t>
      </w:r>
      <w:r w:rsidRPr="0089101B">
        <w:rPr>
          <w:lang w:val="el-GR"/>
        </w:rPr>
        <w:t xml:space="preserve">, με ανεπαίσθητη </w:t>
      </w:r>
      <w:proofErr w:type="spellStart"/>
      <w:r w:rsidRPr="0089101B">
        <w:rPr>
          <w:lang w:val="el-GR"/>
        </w:rPr>
        <w:t>αποσυμπίκνωση</w:t>
      </w:r>
      <w:proofErr w:type="spellEnd"/>
      <w:r w:rsidRPr="0089101B">
        <w:rPr>
          <w:lang w:val="el-GR"/>
        </w:rPr>
        <w:t xml:space="preserve"> το 2024. Σε ένα τέτοιο περιβάλλον, οι παρεμβάσεις τύπου </w:t>
      </w:r>
      <w:r w:rsidRPr="0089101B">
        <w:rPr>
          <w:b/>
          <w:bCs/>
          <w:lang w:val="el-GR"/>
        </w:rPr>
        <w:t>διαφάνειας καθαρής τιμής</w:t>
      </w:r>
      <w:r w:rsidRPr="0089101B">
        <w:rPr>
          <w:lang w:val="el-GR"/>
        </w:rPr>
        <w:t xml:space="preserve"> και </w:t>
      </w:r>
      <w:r w:rsidRPr="0089101B">
        <w:rPr>
          <w:b/>
          <w:bCs/>
          <w:lang w:val="el-GR"/>
        </w:rPr>
        <w:t>διεκδίκησης ραφιού</w:t>
      </w:r>
      <w:r w:rsidRPr="0089101B">
        <w:rPr>
          <w:lang w:val="el-GR"/>
        </w:rPr>
        <w:t xml:space="preserve"> είναι πιο κρίσιμες από απλές οριζόντιες παρεμβάσεις.</w:t>
      </w:r>
    </w:p>
    <w:p w14:paraId="628F55F4" w14:textId="77777777" w:rsidR="00A16C33" w:rsidRPr="0089101B" w:rsidRDefault="00A16C33" w:rsidP="00A16C33">
      <w:pPr>
        <w:pStyle w:val="FirstParagraph"/>
      </w:pPr>
      <w:r w:rsidRPr="0089101B">
        <w:pict w14:anchorId="0FBAE3A7">
          <v:rect id="_x0000_i1031" style="width:0;height:1.5pt" o:hralign="center" o:hrstd="t" o:hr="t" fillcolor="#a0a0a0" stroked="f"/>
        </w:pict>
      </w:r>
    </w:p>
    <w:p w14:paraId="2FE15DC3" w14:textId="77777777" w:rsidR="00A16C33" w:rsidRPr="0089101B" w:rsidRDefault="00A16C33" w:rsidP="00A16C33">
      <w:pPr>
        <w:pStyle w:val="FirstParagraph"/>
        <w:rPr>
          <w:b/>
          <w:bCs/>
        </w:rPr>
      </w:pPr>
      <w:r w:rsidRPr="0089101B">
        <w:rPr>
          <w:b/>
          <w:bCs/>
        </w:rPr>
        <w:t xml:space="preserve">2) </w:t>
      </w:r>
      <w:proofErr w:type="spellStart"/>
      <w:r w:rsidRPr="0089101B">
        <w:rPr>
          <w:b/>
          <w:bCs/>
        </w:rPr>
        <w:t>Εξέλιξη</w:t>
      </w:r>
      <w:proofErr w:type="spellEnd"/>
      <w:r w:rsidRPr="0089101B">
        <w:rPr>
          <w:b/>
          <w:bCs/>
        </w:rPr>
        <w:t xml:space="preserve"> </w:t>
      </w:r>
      <w:proofErr w:type="spellStart"/>
      <w:r w:rsidRPr="0089101B">
        <w:rPr>
          <w:b/>
          <w:bCs/>
        </w:rPr>
        <w:t>τιμών</w:t>
      </w:r>
      <w:proofErr w:type="spellEnd"/>
      <w:r w:rsidRPr="0089101B">
        <w:rPr>
          <w:b/>
          <w:bCs/>
        </w:rPr>
        <w:t xml:space="preserve"> — HICP (Processed food)</w:t>
      </w:r>
    </w:p>
    <w:p w14:paraId="73D6DFCC" w14:textId="77777777" w:rsidR="00A16C33" w:rsidRPr="0089101B" w:rsidRDefault="00A16C33" w:rsidP="00A16C33">
      <w:pPr>
        <w:pStyle w:val="FirstParagraph"/>
      </w:pPr>
      <w:proofErr w:type="spellStart"/>
      <w:r w:rsidRPr="0089101B">
        <w:rPr>
          <w:b/>
          <w:bCs/>
        </w:rPr>
        <w:t>Πηγή</w:t>
      </w:r>
      <w:proofErr w:type="spellEnd"/>
      <w:r w:rsidRPr="0089101B">
        <w:rPr>
          <w:b/>
          <w:bCs/>
        </w:rPr>
        <w:t>:</w:t>
      </w:r>
      <w:r w:rsidRPr="0089101B">
        <w:t xml:space="preserve"> PLI_HICP (</w:t>
      </w:r>
      <w:proofErr w:type="spellStart"/>
      <w:r w:rsidRPr="0089101B">
        <w:t>σειρά</w:t>
      </w:r>
      <w:proofErr w:type="spellEnd"/>
      <w:r w:rsidRPr="0089101B">
        <w:t xml:space="preserve"> «Processed food incl alcohol &amp; </w:t>
      </w:r>
      <w:proofErr w:type="gramStart"/>
      <w:r w:rsidRPr="0089101B">
        <w:t xml:space="preserve">tobacco», </w:t>
      </w:r>
      <w:proofErr w:type="spellStart"/>
      <w:r w:rsidRPr="0089101B">
        <w:t>Ελλάδ</w:t>
      </w:r>
      <w:proofErr w:type="spellEnd"/>
      <w:r w:rsidRPr="0089101B">
        <w:t>α</w:t>
      </w:r>
      <w:proofErr w:type="gramEnd"/>
      <w:r w:rsidRPr="0089101B">
        <w:t>)</w:t>
      </w:r>
    </w:p>
    <w:p w14:paraId="15548CC6" w14:textId="77777777" w:rsidR="00A16C33" w:rsidRPr="0089101B" w:rsidRDefault="00A16C33" w:rsidP="00A16C33">
      <w:pPr>
        <w:pStyle w:val="FirstParagraph"/>
        <w:numPr>
          <w:ilvl w:val="0"/>
          <w:numId w:val="72"/>
        </w:numPr>
        <w:rPr>
          <w:lang w:val="el-GR"/>
        </w:rPr>
      </w:pPr>
      <w:r w:rsidRPr="0089101B">
        <w:rPr>
          <w:b/>
          <w:bCs/>
          <w:lang w:val="el-GR"/>
        </w:rPr>
        <w:t>Επίπεδο (2015=100):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127,98 (</w:t>
      </w:r>
      <w:proofErr w:type="spellStart"/>
      <w:r w:rsidRPr="0089101B">
        <w:rPr>
          <w:b/>
          <w:bCs/>
          <w:lang w:val="el-GR"/>
        </w:rPr>
        <w:t>Ιούλ</w:t>
      </w:r>
      <w:proofErr w:type="spellEnd"/>
      <w:r w:rsidRPr="0089101B">
        <w:rPr>
          <w:b/>
          <w:bCs/>
          <w:lang w:val="el-GR"/>
        </w:rPr>
        <w:t>. 2025)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</w:rPr>
        <w:t>MoM</w:t>
      </w:r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+</w:t>
      </w:r>
      <w:r w:rsidRPr="0089101B">
        <w:rPr>
          <w:b/>
          <w:bCs/>
          <w:lang w:val="el-GR"/>
        </w:rPr>
        <w:t>0,59%</w:t>
      </w:r>
      <w:r w:rsidRPr="0089101B">
        <w:rPr>
          <w:lang w:val="el-GR"/>
        </w:rPr>
        <w:t xml:space="preserve"> </w:t>
      </w:r>
      <w:r w:rsidRPr="0089101B">
        <w:t>vs</w:t>
      </w:r>
      <w:r w:rsidRPr="0089101B">
        <w:rPr>
          <w:lang w:val="el-GR"/>
        </w:rPr>
        <w:t xml:space="preserve"> </w:t>
      </w:r>
      <w:proofErr w:type="spellStart"/>
      <w:r w:rsidRPr="0089101B">
        <w:rPr>
          <w:lang w:val="el-GR"/>
        </w:rPr>
        <w:t>Ιούν</w:t>
      </w:r>
      <w:proofErr w:type="spellEnd"/>
      <w:r w:rsidRPr="0089101B">
        <w:rPr>
          <w:lang w:val="el-GR"/>
        </w:rPr>
        <w:t>. 2025 (127,23 → 127,98).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</w:rPr>
        <w:t>YoY</w:t>
      </w:r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+</w:t>
      </w:r>
      <w:r w:rsidRPr="0089101B">
        <w:rPr>
          <w:b/>
          <w:bCs/>
          <w:lang w:val="el-GR"/>
        </w:rPr>
        <w:t>0,25%</w:t>
      </w:r>
      <w:r w:rsidRPr="0089101B">
        <w:rPr>
          <w:lang w:val="el-GR"/>
        </w:rPr>
        <w:t xml:space="preserve"> </w:t>
      </w:r>
      <w:r w:rsidRPr="0089101B">
        <w:t>vs</w:t>
      </w:r>
      <w:r w:rsidRPr="0089101B">
        <w:rPr>
          <w:lang w:val="el-GR"/>
        </w:rPr>
        <w:t xml:space="preserve"> </w:t>
      </w:r>
      <w:proofErr w:type="spellStart"/>
      <w:r w:rsidRPr="0089101B">
        <w:rPr>
          <w:lang w:val="el-GR"/>
        </w:rPr>
        <w:t>Ιούλ</w:t>
      </w:r>
      <w:proofErr w:type="spellEnd"/>
      <w:r w:rsidRPr="0089101B">
        <w:rPr>
          <w:lang w:val="el-GR"/>
        </w:rPr>
        <w:t>. 2024 (127,66 → 127,98).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  <w:lang w:val="el-GR"/>
        </w:rPr>
        <w:t>Σωρευτικά από Ιαν. 2019:</w:t>
      </w:r>
      <w:r w:rsidRPr="0089101B">
        <w:rPr>
          <w:lang w:val="el-GR"/>
        </w:rPr>
        <w:t xml:space="preserve"> +</w:t>
      </w:r>
      <w:r w:rsidRPr="0089101B">
        <w:rPr>
          <w:b/>
          <w:bCs/>
          <w:lang w:val="el-GR"/>
        </w:rPr>
        <w:t>22,7%</w:t>
      </w:r>
      <w:r w:rsidRPr="0089101B">
        <w:rPr>
          <w:lang w:val="el-GR"/>
        </w:rPr>
        <w:t xml:space="preserve"> (από 104,32 σε 127,98).</w:t>
      </w:r>
    </w:p>
    <w:p w14:paraId="67A93E8D" w14:textId="77777777" w:rsidR="00A16C33" w:rsidRPr="0089101B" w:rsidRDefault="00A16C33" w:rsidP="00A16C33">
      <w:pPr>
        <w:pStyle w:val="FirstParagraph"/>
        <w:rPr>
          <w:lang w:val="el-GR"/>
        </w:rPr>
      </w:pPr>
      <w:r w:rsidRPr="0089101B">
        <w:rPr>
          <w:b/>
          <w:bCs/>
          <w:lang w:val="el-GR"/>
        </w:rPr>
        <w:t>Σχόλιο:</w:t>
      </w:r>
      <w:r w:rsidRPr="0089101B">
        <w:rPr>
          <w:lang w:val="el-GR"/>
        </w:rPr>
        <w:br/>
        <w:t xml:space="preserve">Ο </w:t>
      </w:r>
      <w:r w:rsidRPr="0089101B">
        <w:rPr>
          <w:b/>
          <w:bCs/>
          <w:lang w:val="el-GR"/>
        </w:rPr>
        <w:t>πληθωρισμός στα επεξεργασμένα τρόφιμα έχει “κρυώσει”</w:t>
      </w:r>
      <w:r w:rsidRPr="0089101B">
        <w:rPr>
          <w:lang w:val="el-GR"/>
        </w:rPr>
        <w:t xml:space="preserve"> (ασθενής </w:t>
      </w:r>
      <w:r w:rsidRPr="0089101B">
        <w:t>YoY</w:t>
      </w:r>
      <w:r w:rsidRPr="0089101B">
        <w:rPr>
          <w:lang w:val="el-GR"/>
        </w:rPr>
        <w:t xml:space="preserve">), αλλά το </w:t>
      </w:r>
      <w:r w:rsidRPr="0089101B">
        <w:rPr>
          <w:b/>
          <w:bCs/>
          <w:lang w:val="el-GR"/>
        </w:rPr>
        <w:t xml:space="preserve">επίπεδο </w:t>
      </w:r>
      <w:r w:rsidRPr="0089101B">
        <w:rPr>
          <w:b/>
          <w:bCs/>
          <w:lang w:val="el-GR"/>
        </w:rPr>
        <w:lastRenderedPageBreak/>
        <w:t>τιμών παραμένει πολύ υψηλότερο</w:t>
      </w:r>
      <w:r w:rsidRPr="0089101B">
        <w:rPr>
          <w:lang w:val="el-GR"/>
        </w:rPr>
        <w:t xml:space="preserve"> από το 2019. Αυτό εξηγεί γιατί το «καλάθι» εξακολουθεί να πιέζει, παρότι τα μηνιαία/ετήσια ποσοστά έχουν αποκλιμακωθεί.</w:t>
      </w:r>
    </w:p>
    <w:p w14:paraId="62D19105" w14:textId="77777777" w:rsidR="00A16C33" w:rsidRPr="0089101B" w:rsidRDefault="00A16C33" w:rsidP="00A16C33">
      <w:pPr>
        <w:pStyle w:val="FirstParagraph"/>
      </w:pPr>
      <w:r w:rsidRPr="0089101B">
        <w:pict w14:anchorId="0FBC3B1D">
          <v:rect id="_x0000_i1032" style="width:0;height:1.5pt" o:hralign="center" o:hrstd="t" o:hr="t" fillcolor="#a0a0a0" stroked="f"/>
        </w:pict>
      </w:r>
    </w:p>
    <w:p w14:paraId="1CB558F1" w14:textId="77777777" w:rsidR="00A16C33" w:rsidRPr="0089101B" w:rsidRDefault="00A16C33" w:rsidP="00A16C33">
      <w:pPr>
        <w:pStyle w:val="FirstParagraph"/>
        <w:rPr>
          <w:b/>
          <w:bCs/>
          <w:lang w:val="el-GR"/>
        </w:rPr>
      </w:pPr>
      <w:r w:rsidRPr="0089101B">
        <w:rPr>
          <w:b/>
          <w:bCs/>
          <w:lang w:val="el-GR"/>
        </w:rPr>
        <w:t xml:space="preserve">3) Συμπεριφορά καταναλωτή — Προωθήσεις &amp; </w:t>
      </w:r>
      <w:r w:rsidRPr="0089101B">
        <w:rPr>
          <w:b/>
          <w:bCs/>
        </w:rPr>
        <w:t>PL</w:t>
      </w:r>
    </w:p>
    <w:p w14:paraId="7421CD25" w14:textId="77777777" w:rsidR="00A16C33" w:rsidRPr="0089101B" w:rsidRDefault="00A16C33" w:rsidP="00A16C33">
      <w:pPr>
        <w:pStyle w:val="FirstParagraph"/>
        <w:rPr>
          <w:lang w:val="el-GR"/>
        </w:rPr>
      </w:pPr>
      <w:r w:rsidRPr="0089101B">
        <w:rPr>
          <w:b/>
          <w:bCs/>
          <w:lang w:val="el-GR"/>
        </w:rPr>
        <w:t>Πηγή:</w:t>
      </w:r>
      <w:r w:rsidRPr="0089101B">
        <w:rPr>
          <w:lang w:val="el-GR"/>
        </w:rPr>
        <w:t xml:space="preserve"> </w:t>
      </w:r>
      <w:r w:rsidRPr="0089101B">
        <w:t>Consumer</w:t>
      </w:r>
      <w:r w:rsidRPr="0089101B">
        <w:rPr>
          <w:lang w:val="el-GR"/>
        </w:rPr>
        <w:t>_</w:t>
      </w:r>
      <w:r w:rsidRPr="0089101B">
        <w:t>Behavior</w:t>
      </w:r>
    </w:p>
    <w:p w14:paraId="4FC7FC1A" w14:textId="77777777" w:rsidR="00A16C33" w:rsidRPr="0089101B" w:rsidRDefault="00A16C33" w:rsidP="00A16C33">
      <w:pPr>
        <w:pStyle w:val="FirstParagraph"/>
        <w:numPr>
          <w:ilvl w:val="0"/>
          <w:numId w:val="73"/>
        </w:numPr>
        <w:rPr>
          <w:lang w:val="el-GR"/>
        </w:rPr>
      </w:pPr>
      <w:r w:rsidRPr="0089101B">
        <w:rPr>
          <w:b/>
          <w:bCs/>
          <w:lang w:val="el-GR"/>
        </w:rPr>
        <w:t>Ένταση προωθήσεων (</w:t>
      </w:r>
      <w:r w:rsidRPr="0089101B">
        <w:rPr>
          <w:b/>
          <w:bCs/>
        </w:rPr>
        <w:t>TPR</w:t>
      </w:r>
      <w:r w:rsidRPr="0089101B">
        <w:rPr>
          <w:b/>
          <w:bCs/>
          <w:lang w:val="el-GR"/>
        </w:rPr>
        <w:t>) 2024: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  <w:lang w:val="el-GR"/>
        </w:rPr>
        <w:t xml:space="preserve">Σύνολο </w:t>
      </w:r>
      <w:r w:rsidRPr="0089101B">
        <w:rPr>
          <w:b/>
          <w:bCs/>
        </w:rPr>
        <w:t>FMCG</w:t>
      </w:r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25,8%</w:t>
      </w:r>
      <w:r w:rsidRPr="0089101B">
        <w:rPr>
          <w:lang w:val="el-GR"/>
        </w:rPr>
        <w:t xml:space="preserve"> της αξίας πωλήσεων.</w:t>
      </w:r>
      <w:r w:rsidRPr="0089101B">
        <w:rPr>
          <w:lang w:val="el-GR"/>
        </w:rPr>
        <w:br/>
        <w:t xml:space="preserve">– </w:t>
      </w:r>
      <w:r w:rsidRPr="0089101B">
        <w:rPr>
          <w:b/>
          <w:bCs/>
          <w:lang w:val="el-GR"/>
        </w:rPr>
        <w:t>Τρόφιμα: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25,6%</w:t>
      </w:r>
      <w:r w:rsidRPr="0089101B">
        <w:rPr>
          <w:lang w:val="el-GR"/>
        </w:rPr>
        <w:t>.</w:t>
      </w:r>
      <w:r w:rsidRPr="0089101B">
        <w:rPr>
          <w:lang w:val="el-GR"/>
        </w:rPr>
        <w:br/>
        <w:t xml:space="preserve">→ Η Ελλάδα είναι </w:t>
      </w:r>
      <w:r w:rsidRPr="0089101B">
        <w:rPr>
          <w:b/>
          <w:bCs/>
          <w:lang w:val="el-GR"/>
        </w:rPr>
        <w:t>“</w:t>
      </w:r>
      <w:r w:rsidRPr="0089101B">
        <w:rPr>
          <w:b/>
          <w:bCs/>
        </w:rPr>
        <w:t>promo</w:t>
      </w:r>
      <w:r w:rsidRPr="0089101B">
        <w:rPr>
          <w:b/>
          <w:bCs/>
          <w:lang w:val="el-GR"/>
        </w:rPr>
        <w:t>-</w:t>
      </w:r>
      <w:r w:rsidRPr="0089101B">
        <w:rPr>
          <w:b/>
          <w:bCs/>
        </w:rPr>
        <w:t>heavy</w:t>
      </w:r>
      <w:r w:rsidRPr="0089101B">
        <w:rPr>
          <w:b/>
          <w:bCs/>
          <w:lang w:val="el-GR"/>
        </w:rPr>
        <w:t>”</w:t>
      </w:r>
      <w:r w:rsidRPr="0089101B">
        <w:rPr>
          <w:lang w:val="el-GR"/>
        </w:rPr>
        <w:t xml:space="preserve">: το 1/4 της αξίας περνά από προσφορές. Αυτό στηρίζει την υπόθεση ότι το </w:t>
      </w:r>
      <w:r w:rsidRPr="0089101B">
        <w:rPr>
          <w:b/>
          <w:bCs/>
          <w:lang w:val="el-GR"/>
        </w:rPr>
        <w:t>μέσο “</w:t>
      </w:r>
      <w:r w:rsidRPr="0089101B">
        <w:rPr>
          <w:b/>
          <w:bCs/>
        </w:rPr>
        <w:t>net</w:t>
      </w:r>
      <w:r w:rsidRPr="0089101B">
        <w:rPr>
          <w:b/>
          <w:bCs/>
          <w:lang w:val="el-GR"/>
        </w:rPr>
        <w:t xml:space="preserve"> </w:t>
      </w:r>
      <w:r w:rsidRPr="0089101B">
        <w:rPr>
          <w:b/>
          <w:bCs/>
        </w:rPr>
        <w:t>vs</w:t>
      </w:r>
      <w:r w:rsidRPr="0089101B">
        <w:rPr>
          <w:b/>
          <w:bCs/>
          <w:lang w:val="el-GR"/>
        </w:rPr>
        <w:t xml:space="preserve"> </w:t>
      </w:r>
      <w:r w:rsidRPr="0089101B">
        <w:rPr>
          <w:b/>
          <w:bCs/>
        </w:rPr>
        <w:t>list</w:t>
      </w:r>
      <w:r w:rsidRPr="0089101B">
        <w:rPr>
          <w:b/>
          <w:bCs/>
          <w:lang w:val="el-GR"/>
        </w:rPr>
        <w:t xml:space="preserve">” </w:t>
      </w:r>
      <w:r w:rsidRPr="0089101B">
        <w:rPr>
          <w:b/>
          <w:bCs/>
        </w:rPr>
        <w:t>gap</w:t>
      </w:r>
      <w:r w:rsidRPr="0089101B">
        <w:rPr>
          <w:lang w:val="el-GR"/>
        </w:rPr>
        <w:t xml:space="preserve"> είναι της τάξης </w:t>
      </w:r>
      <w:r w:rsidRPr="0089101B">
        <w:rPr>
          <w:b/>
          <w:bCs/>
          <w:lang w:val="el-GR"/>
        </w:rPr>
        <w:t>5–10%</w:t>
      </w:r>
      <w:r w:rsidRPr="0089101B">
        <w:rPr>
          <w:lang w:val="el-GR"/>
        </w:rPr>
        <w:t xml:space="preserve"> (</w:t>
      </w:r>
      <w:r w:rsidRPr="0089101B">
        <w:t>proxy</w:t>
      </w:r>
      <w:r w:rsidRPr="0089101B">
        <w:rPr>
          <w:lang w:val="el-GR"/>
        </w:rPr>
        <w:t xml:space="preserve"> στο υπόμνημα).</w:t>
      </w:r>
    </w:p>
    <w:p w14:paraId="461F4E6E" w14:textId="77777777" w:rsidR="00A16C33" w:rsidRPr="0089101B" w:rsidRDefault="00A16C33" w:rsidP="00A16C33">
      <w:pPr>
        <w:pStyle w:val="FirstParagraph"/>
        <w:numPr>
          <w:ilvl w:val="0"/>
          <w:numId w:val="73"/>
        </w:numPr>
        <w:rPr>
          <w:lang w:val="el-GR"/>
        </w:rPr>
      </w:pPr>
      <w:r w:rsidRPr="0089101B">
        <w:rPr>
          <w:b/>
          <w:bCs/>
        </w:rPr>
        <w:t>Private Label (PL) 2024:</w:t>
      </w:r>
      <w:r w:rsidRPr="0089101B">
        <w:br/>
        <w:t xml:space="preserve">– </w:t>
      </w:r>
      <w:proofErr w:type="spellStart"/>
      <w:r w:rsidRPr="0089101B">
        <w:rPr>
          <w:b/>
          <w:bCs/>
        </w:rPr>
        <w:t>Σύνολο</w:t>
      </w:r>
      <w:proofErr w:type="spellEnd"/>
      <w:r w:rsidRPr="0089101B">
        <w:rPr>
          <w:b/>
          <w:bCs/>
        </w:rPr>
        <w:t xml:space="preserve"> FMCG:</w:t>
      </w:r>
      <w:r w:rsidRPr="0089101B">
        <w:t xml:space="preserve"> </w:t>
      </w:r>
      <w:r w:rsidRPr="0089101B">
        <w:rPr>
          <w:b/>
          <w:bCs/>
        </w:rPr>
        <w:t>26,7%</w:t>
      </w:r>
      <w:r w:rsidRPr="0089101B">
        <w:t xml:space="preserve">, </w:t>
      </w:r>
      <w:proofErr w:type="spellStart"/>
      <w:r w:rsidRPr="0089101B">
        <w:rPr>
          <w:b/>
          <w:bCs/>
        </w:rPr>
        <w:t>Τρόφιμ</w:t>
      </w:r>
      <w:proofErr w:type="spellEnd"/>
      <w:r w:rsidRPr="0089101B">
        <w:rPr>
          <w:b/>
          <w:bCs/>
        </w:rPr>
        <w:t>α:</w:t>
      </w:r>
      <w:r w:rsidRPr="0089101B">
        <w:t xml:space="preserve"> </w:t>
      </w:r>
      <w:r w:rsidRPr="0089101B">
        <w:rPr>
          <w:b/>
          <w:bCs/>
        </w:rPr>
        <w:t>27,4%</w:t>
      </w:r>
      <w:r w:rsidRPr="0089101B">
        <w:t>.</w:t>
      </w:r>
      <w:r w:rsidRPr="0089101B">
        <w:br/>
      </w:r>
      <w:r w:rsidRPr="0089101B">
        <w:rPr>
          <w:lang w:val="el-GR"/>
        </w:rPr>
        <w:t xml:space="preserve">→ Σημαντική </w:t>
      </w:r>
      <w:r w:rsidRPr="0089101B">
        <w:rPr>
          <w:b/>
          <w:bCs/>
          <w:lang w:val="el-GR"/>
        </w:rPr>
        <w:t xml:space="preserve">εδραίωση των </w:t>
      </w:r>
      <w:r w:rsidRPr="0089101B">
        <w:rPr>
          <w:b/>
          <w:bCs/>
        </w:rPr>
        <w:t>PL</w:t>
      </w:r>
      <w:r w:rsidRPr="0089101B">
        <w:rPr>
          <w:lang w:val="el-GR"/>
        </w:rPr>
        <w:t xml:space="preserve">· ενισχύει τη διαπραγματευτική θέση των αλυσίδων, αλλά </w:t>
      </w:r>
      <w:r w:rsidRPr="0089101B">
        <w:rPr>
          <w:b/>
          <w:bCs/>
          <w:lang w:val="el-GR"/>
        </w:rPr>
        <w:t>δεν εγγυάται</w:t>
      </w:r>
      <w:r w:rsidRPr="0089101B">
        <w:rPr>
          <w:lang w:val="el-GR"/>
        </w:rPr>
        <w:t xml:space="preserve"> χαμηλότερες τιμές στον καταναλωτή αν το </w:t>
      </w:r>
      <w:r w:rsidRPr="0089101B">
        <w:t>rack</w:t>
      </w:r>
      <w:r w:rsidRPr="0089101B">
        <w:rPr>
          <w:lang w:val="el-GR"/>
        </w:rPr>
        <w:t xml:space="preserve"> </w:t>
      </w:r>
      <w:r w:rsidRPr="0089101B">
        <w:t>price</w:t>
      </w:r>
      <w:r w:rsidRPr="0089101B">
        <w:rPr>
          <w:lang w:val="el-GR"/>
        </w:rPr>
        <w:t xml:space="preserve"> παραμένει υψηλό και “διορθώνεται” μόνο με </w:t>
      </w:r>
      <w:r w:rsidRPr="0089101B">
        <w:t>promotions</w:t>
      </w:r>
      <w:r w:rsidRPr="0089101B">
        <w:rPr>
          <w:lang w:val="el-GR"/>
        </w:rPr>
        <w:t>.</w:t>
      </w:r>
    </w:p>
    <w:p w14:paraId="3A10BBC3" w14:textId="77777777" w:rsidR="00A16C33" w:rsidRPr="0089101B" w:rsidRDefault="00A16C33" w:rsidP="00A16C33">
      <w:pPr>
        <w:pStyle w:val="FirstParagraph"/>
        <w:rPr>
          <w:lang w:val="el-GR"/>
        </w:rPr>
      </w:pPr>
      <w:r w:rsidRPr="0089101B">
        <w:rPr>
          <w:b/>
          <w:bCs/>
          <w:lang w:val="el-GR"/>
        </w:rPr>
        <w:t>Συμπέρασμα:</w:t>
      </w:r>
      <w:r w:rsidRPr="0089101B">
        <w:rPr>
          <w:lang w:val="el-GR"/>
        </w:rPr>
        <w:br/>
        <w:t xml:space="preserve">Το μείγμα «υψηλές λίστες + συστηματικές προωθήσεις» </w:t>
      </w:r>
      <w:r w:rsidRPr="0089101B">
        <w:rPr>
          <w:b/>
          <w:bCs/>
          <w:lang w:val="el-GR"/>
        </w:rPr>
        <w:t>ομαλοποιεί</w:t>
      </w:r>
      <w:r w:rsidRPr="0089101B">
        <w:rPr>
          <w:lang w:val="el-GR"/>
        </w:rPr>
        <w:t xml:space="preserve"> την απόσταση λίστας–καθαρής τιμής, άρα η </w:t>
      </w:r>
      <w:r w:rsidRPr="0089101B">
        <w:rPr>
          <w:b/>
          <w:bCs/>
          <w:lang w:val="el-GR"/>
        </w:rPr>
        <w:t>θεσμοθέτηση “Μητρώου Καθαρής Τιμής”</w:t>
      </w:r>
      <w:r w:rsidRPr="0089101B">
        <w:rPr>
          <w:lang w:val="el-GR"/>
        </w:rPr>
        <w:t xml:space="preserve"> έχει νόημα: να μετρά το </w:t>
      </w:r>
      <w:r w:rsidRPr="0089101B">
        <w:rPr>
          <w:b/>
          <w:bCs/>
        </w:rPr>
        <w:t>effective</w:t>
      </w:r>
      <w:r w:rsidRPr="0089101B">
        <w:rPr>
          <w:lang w:val="el-GR"/>
        </w:rPr>
        <w:t xml:space="preserve"> και όχι το </w:t>
      </w:r>
      <w:r w:rsidRPr="0089101B">
        <w:rPr>
          <w:b/>
          <w:bCs/>
        </w:rPr>
        <w:t>nominal</w:t>
      </w:r>
      <w:r w:rsidRPr="0089101B">
        <w:rPr>
          <w:lang w:val="el-GR"/>
        </w:rPr>
        <w:t>.</w:t>
      </w:r>
    </w:p>
    <w:p w14:paraId="2EFFED99" w14:textId="77777777" w:rsidR="00A16C33" w:rsidRPr="0089101B" w:rsidRDefault="00A16C33" w:rsidP="00A16C33">
      <w:pPr>
        <w:pStyle w:val="FirstParagraph"/>
      </w:pPr>
      <w:r w:rsidRPr="0089101B">
        <w:pict w14:anchorId="433478EA">
          <v:rect id="_x0000_i1033" style="width:0;height:1.5pt" o:hralign="center" o:hrstd="t" o:hr="t" fillcolor="#a0a0a0" stroked="f"/>
        </w:pict>
      </w:r>
    </w:p>
    <w:p w14:paraId="2B4AE48B" w14:textId="77777777" w:rsidR="00A16C33" w:rsidRPr="0089101B" w:rsidRDefault="00A16C33" w:rsidP="00A16C33">
      <w:pPr>
        <w:pStyle w:val="FirstParagraph"/>
        <w:rPr>
          <w:b/>
          <w:bCs/>
        </w:rPr>
      </w:pPr>
      <w:r w:rsidRPr="0089101B">
        <w:rPr>
          <w:b/>
          <w:bCs/>
        </w:rPr>
        <w:t>4) Κα</w:t>
      </w:r>
      <w:proofErr w:type="spellStart"/>
      <w:r w:rsidRPr="0089101B">
        <w:rPr>
          <w:b/>
          <w:bCs/>
        </w:rPr>
        <w:t>νάλι</w:t>
      </w:r>
      <w:proofErr w:type="spellEnd"/>
      <w:r w:rsidRPr="0089101B">
        <w:rPr>
          <w:b/>
          <w:bCs/>
        </w:rPr>
        <w:t xml:space="preserve">α — </w:t>
      </w:r>
      <w:proofErr w:type="spellStart"/>
      <w:r w:rsidRPr="0089101B">
        <w:rPr>
          <w:b/>
          <w:bCs/>
        </w:rPr>
        <w:t>eGrocery</w:t>
      </w:r>
      <w:proofErr w:type="spellEnd"/>
      <w:r w:rsidRPr="0089101B">
        <w:rPr>
          <w:b/>
          <w:bCs/>
        </w:rPr>
        <w:t xml:space="preserve"> &amp; discounters</w:t>
      </w:r>
    </w:p>
    <w:p w14:paraId="732E79CA" w14:textId="77777777" w:rsidR="00A16C33" w:rsidRPr="0089101B" w:rsidRDefault="00A16C33" w:rsidP="00A16C33">
      <w:pPr>
        <w:pStyle w:val="FirstParagraph"/>
      </w:pPr>
      <w:proofErr w:type="spellStart"/>
      <w:r w:rsidRPr="0089101B">
        <w:rPr>
          <w:b/>
          <w:bCs/>
        </w:rPr>
        <w:t>Πηγή</w:t>
      </w:r>
      <w:proofErr w:type="spellEnd"/>
      <w:r w:rsidRPr="0089101B">
        <w:rPr>
          <w:b/>
          <w:bCs/>
        </w:rPr>
        <w:t>:</w:t>
      </w:r>
      <w:r w:rsidRPr="0089101B">
        <w:t xml:space="preserve"> </w:t>
      </w:r>
      <w:proofErr w:type="spellStart"/>
      <w:r w:rsidRPr="0089101B">
        <w:t>Consumer_Behavior</w:t>
      </w:r>
      <w:proofErr w:type="spellEnd"/>
      <w:r w:rsidRPr="0089101B">
        <w:t xml:space="preserve"> (</w:t>
      </w:r>
      <w:proofErr w:type="spellStart"/>
      <w:r w:rsidRPr="0089101B">
        <w:t>γι</w:t>
      </w:r>
      <w:proofErr w:type="spellEnd"/>
      <w:r w:rsidRPr="0089101B">
        <w:t xml:space="preserve">α </w:t>
      </w:r>
      <w:proofErr w:type="spellStart"/>
      <w:r w:rsidRPr="0089101B">
        <w:t>eGrocery</w:t>
      </w:r>
      <w:proofErr w:type="spellEnd"/>
      <w:r w:rsidRPr="0089101B">
        <w:t xml:space="preserve">), </w:t>
      </w:r>
      <w:proofErr w:type="spellStart"/>
      <w:r w:rsidRPr="0089101B">
        <w:t>Market_Structure</w:t>
      </w:r>
      <w:proofErr w:type="spellEnd"/>
      <w:r w:rsidRPr="0089101B">
        <w:t xml:space="preserve"> (</w:t>
      </w:r>
      <w:proofErr w:type="spellStart"/>
      <w:r w:rsidRPr="0089101B">
        <w:t>γι</w:t>
      </w:r>
      <w:proofErr w:type="spellEnd"/>
      <w:r w:rsidRPr="0089101B">
        <w:t xml:space="preserve">α discounters </w:t>
      </w:r>
      <w:proofErr w:type="spellStart"/>
      <w:r w:rsidRPr="0089101B">
        <w:t>μέσω</w:t>
      </w:r>
      <w:proofErr w:type="spellEnd"/>
      <w:r w:rsidRPr="0089101B">
        <w:t xml:space="preserve"> </w:t>
      </w:r>
      <w:proofErr w:type="spellStart"/>
      <w:r w:rsidRPr="0089101B">
        <w:t>συνολικής</w:t>
      </w:r>
      <w:proofErr w:type="spellEnd"/>
      <w:r w:rsidRPr="0089101B">
        <w:t xml:space="preserve"> </w:t>
      </w:r>
      <w:proofErr w:type="spellStart"/>
      <w:r w:rsidRPr="0089101B">
        <w:t>εικόν</w:t>
      </w:r>
      <w:proofErr w:type="spellEnd"/>
      <w:r w:rsidRPr="0089101B">
        <w:t>ας supermarkets)</w:t>
      </w:r>
    </w:p>
    <w:p w14:paraId="59033DA8" w14:textId="77777777" w:rsidR="00A16C33" w:rsidRPr="0089101B" w:rsidRDefault="00A16C33" w:rsidP="00A16C33">
      <w:pPr>
        <w:pStyle w:val="FirstParagraph"/>
        <w:numPr>
          <w:ilvl w:val="0"/>
          <w:numId w:val="74"/>
        </w:numPr>
        <w:rPr>
          <w:lang w:val="el-GR"/>
        </w:rPr>
      </w:pPr>
      <w:proofErr w:type="spellStart"/>
      <w:r w:rsidRPr="0089101B">
        <w:rPr>
          <w:b/>
          <w:bCs/>
        </w:rPr>
        <w:t>eGrocery</w:t>
      </w:r>
      <w:proofErr w:type="spellEnd"/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Το </w:t>
      </w:r>
      <w:r w:rsidRPr="0089101B">
        <w:t>Excel</w:t>
      </w:r>
      <w:r w:rsidRPr="0089101B">
        <w:rPr>
          <w:lang w:val="el-GR"/>
        </w:rPr>
        <w:t xml:space="preserve"> δίνει </w:t>
      </w:r>
      <w:r w:rsidRPr="0089101B">
        <w:rPr>
          <w:b/>
          <w:bCs/>
          <w:lang w:val="el-GR"/>
        </w:rPr>
        <w:t>€164 εκ.</w:t>
      </w:r>
      <w:r w:rsidRPr="0089101B">
        <w:rPr>
          <w:lang w:val="el-GR"/>
        </w:rPr>
        <w:t xml:space="preserve"> για </w:t>
      </w:r>
      <w:r w:rsidRPr="0089101B">
        <w:rPr>
          <w:b/>
          <w:bCs/>
        </w:rPr>
        <w:t>H</w:t>
      </w:r>
      <w:r w:rsidRPr="0089101B">
        <w:rPr>
          <w:b/>
          <w:bCs/>
          <w:lang w:val="el-GR"/>
        </w:rPr>
        <w:t>1 2024</w:t>
      </w:r>
      <w:r w:rsidRPr="0089101B">
        <w:rPr>
          <w:lang w:val="el-GR"/>
        </w:rPr>
        <w:t xml:space="preserve"> (</w:t>
      </w:r>
      <w:r w:rsidRPr="0089101B">
        <w:t>Convert</w:t>
      </w:r>
      <w:r w:rsidRPr="0089101B">
        <w:rPr>
          <w:lang w:val="el-GR"/>
        </w:rPr>
        <w:t xml:space="preserve"> </w:t>
      </w:r>
      <w:r w:rsidRPr="0089101B">
        <w:t>Group</w:t>
      </w:r>
      <w:r w:rsidRPr="0089101B">
        <w:rPr>
          <w:lang w:val="el-GR"/>
        </w:rPr>
        <w:t>).</w:t>
      </w:r>
      <w:r w:rsidRPr="0089101B">
        <w:rPr>
          <w:lang w:val="el-GR"/>
        </w:rPr>
        <w:br/>
        <w:t xml:space="preserve">– Στο </w:t>
      </w:r>
      <w:r w:rsidRPr="0089101B">
        <w:t>workbook</w:t>
      </w:r>
      <w:r w:rsidRPr="0089101B">
        <w:rPr>
          <w:lang w:val="el-GR"/>
        </w:rPr>
        <w:t xml:space="preserve"> </w:t>
      </w:r>
      <w:r w:rsidRPr="0089101B">
        <w:rPr>
          <w:b/>
          <w:bCs/>
          <w:lang w:val="el-GR"/>
        </w:rPr>
        <w:t>λείπει ο παρονομαστής</w:t>
      </w:r>
      <w:r w:rsidRPr="0089101B">
        <w:rPr>
          <w:lang w:val="el-GR"/>
        </w:rPr>
        <w:t xml:space="preserve"> (συνολικό μέγεθος αγοράς τροφίμων) για να προκύψει </w:t>
      </w:r>
      <w:r w:rsidRPr="0089101B">
        <w:rPr>
          <w:b/>
          <w:bCs/>
          <w:lang w:val="el-GR"/>
        </w:rPr>
        <w:t>% μερίδιο</w:t>
      </w:r>
      <w:r w:rsidRPr="0089101B">
        <w:rPr>
          <w:lang w:val="el-GR"/>
        </w:rPr>
        <w:t>.</w:t>
      </w:r>
      <w:r w:rsidRPr="0089101B">
        <w:rPr>
          <w:lang w:val="el-GR"/>
        </w:rPr>
        <w:br/>
        <w:t xml:space="preserve">– Πρόταση: συμπλήρωσε ένα </w:t>
      </w:r>
      <w:r w:rsidRPr="0089101B">
        <w:t>tab</w:t>
      </w:r>
      <w:r w:rsidRPr="0089101B">
        <w:rPr>
          <w:lang w:val="el-GR"/>
        </w:rPr>
        <w:t xml:space="preserve"> </w:t>
      </w:r>
      <w:r w:rsidRPr="0089101B">
        <w:t>Channel</w:t>
      </w:r>
      <w:r w:rsidRPr="0089101B">
        <w:rPr>
          <w:lang w:val="el-GR"/>
        </w:rPr>
        <w:t>_</w:t>
      </w:r>
      <w:r w:rsidRPr="0089101B">
        <w:t>Share</w:t>
      </w:r>
      <w:r w:rsidRPr="0089101B">
        <w:rPr>
          <w:lang w:val="el-GR"/>
        </w:rPr>
        <w:t xml:space="preserve"> (όπως στο </w:t>
      </w:r>
      <w:r w:rsidRPr="0089101B">
        <w:t>KPI</w:t>
      </w:r>
      <w:r w:rsidRPr="0089101B">
        <w:rPr>
          <w:lang w:val="el-GR"/>
        </w:rPr>
        <w:t xml:space="preserve"> </w:t>
      </w:r>
      <w:r w:rsidRPr="0089101B">
        <w:t>template</w:t>
      </w:r>
      <w:r w:rsidRPr="0089101B">
        <w:rPr>
          <w:lang w:val="el-GR"/>
        </w:rPr>
        <w:t xml:space="preserve">) με </w:t>
      </w:r>
      <w:r w:rsidRPr="0089101B">
        <w:rPr>
          <w:b/>
          <w:bCs/>
          <w:lang w:val="el-GR"/>
        </w:rPr>
        <w:t>ετήσιο σύνολο αγοράς</w:t>
      </w:r>
      <w:r w:rsidRPr="0089101B">
        <w:rPr>
          <w:lang w:val="el-GR"/>
        </w:rPr>
        <w:t xml:space="preserve">, ώστε να εμφανίζεται αυτόματα το </w:t>
      </w:r>
      <w:r w:rsidRPr="0089101B">
        <w:rPr>
          <w:b/>
          <w:bCs/>
        </w:rPr>
        <w:t>share</w:t>
      </w:r>
      <w:r w:rsidRPr="0089101B">
        <w:rPr>
          <w:lang w:val="el-GR"/>
        </w:rPr>
        <w:t>.</w:t>
      </w:r>
    </w:p>
    <w:p w14:paraId="6C6138DC" w14:textId="77777777" w:rsidR="00A16C33" w:rsidRPr="0089101B" w:rsidRDefault="00A16C33" w:rsidP="00A16C33">
      <w:pPr>
        <w:pStyle w:val="FirstParagraph"/>
        <w:numPr>
          <w:ilvl w:val="0"/>
          <w:numId w:val="74"/>
        </w:numPr>
        <w:rPr>
          <w:lang w:val="el-GR"/>
        </w:rPr>
      </w:pPr>
      <w:r w:rsidRPr="0089101B">
        <w:rPr>
          <w:b/>
          <w:bCs/>
        </w:rPr>
        <w:t>Discounters</w:t>
      </w:r>
      <w:proofErr w:type="gramStart"/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Δεν υπάρχει αυτόνομο </w:t>
      </w:r>
      <w:r w:rsidRPr="0089101B">
        <w:t>sheet</w:t>
      </w:r>
      <w:r w:rsidRPr="0089101B">
        <w:rPr>
          <w:lang w:val="el-GR"/>
        </w:rPr>
        <w:t xml:space="preserve"> για</w:t>
      </w:r>
      <w:proofErr w:type="gramEnd"/>
      <w:r w:rsidRPr="0089101B">
        <w:rPr>
          <w:lang w:val="el-GR"/>
        </w:rPr>
        <w:t xml:space="preserve"> </w:t>
      </w:r>
      <w:r w:rsidRPr="0089101B">
        <w:t>discounters</w:t>
      </w:r>
      <w:r w:rsidRPr="0089101B">
        <w:rPr>
          <w:lang w:val="el-GR"/>
        </w:rPr>
        <w:t xml:space="preserve">, αλλά από τη δομή των </w:t>
      </w:r>
      <w:r w:rsidRPr="0089101B">
        <w:t>supermarkets</w:t>
      </w:r>
      <w:r w:rsidRPr="0089101B">
        <w:rPr>
          <w:lang w:val="el-GR"/>
        </w:rPr>
        <w:t xml:space="preserve">/μεριδίων προκύπτει </w:t>
      </w:r>
      <w:proofErr w:type="spellStart"/>
      <w:r w:rsidRPr="0089101B">
        <w:rPr>
          <w:b/>
          <w:bCs/>
          <w:lang w:val="el-GR"/>
        </w:rPr>
        <w:t>μονο</w:t>
      </w:r>
      <w:proofErr w:type="spellEnd"/>
      <w:r w:rsidRPr="0089101B">
        <w:rPr>
          <w:b/>
          <w:bCs/>
          <w:lang w:val="el-GR"/>
        </w:rPr>
        <w:t xml:space="preserve">-παίκτης </w:t>
      </w:r>
      <w:r w:rsidRPr="0089101B">
        <w:rPr>
          <w:b/>
          <w:bCs/>
        </w:rPr>
        <w:t>discounter</w:t>
      </w:r>
      <w:r w:rsidRPr="0089101B">
        <w:rPr>
          <w:lang w:val="el-GR"/>
        </w:rPr>
        <w:t xml:space="preserve"> (</w:t>
      </w:r>
      <w:r w:rsidRPr="0089101B">
        <w:t>Lidl</w:t>
      </w:r>
      <w:r w:rsidRPr="0089101B">
        <w:rPr>
          <w:lang w:val="el-GR"/>
        </w:rPr>
        <w:t xml:space="preserve">). Το </w:t>
      </w:r>
      <w:r w:rsidRPr="0089101B">
        <w:rPr>
          <w:b/>
          <w:bCs/>
          <w:lang w:val="el-GR"/>
        </w:rPr>
        <w:t>ολιγοπώλιο</w:t>
      </w:r>
      <w:r w:rsidRPr="0089101B">
        <w:rPr>
          <w:lang w:val="el-GR"/>
        </w:rPr>
        <w:t xml:space="preserve"> με ηγετική θέση </w:t>
      </w:r>
      <w:r w:rsidRPr="0089101B">
        <w:t>full</w:t>
      </w:r>
      <w:r w:rsidRPr="0089101B">
        <w:rPr>
          <w:lang w:val="el-GR"/>
        </w:rPr>
        <w:t>-</w:t>
      </w:r>
      <w:r w:rsidRPr="0089101B">
        <w:t>service</w:t>
      </w:r>
      <w:r w:rsidRPr="0089101B">
        <w:rPr>
          <w:lang w:val="el-GR"/>
        </w:rPr>
        <w:t xml:space="preserve"> αλυσίδων </w:t>
      </w:r>
      <w:r w:rsidRPr="0089101B">
        <w:rPr>
          <w:b/>
          <w:bCs/>
          <w:lang w:val="el-GR"/>
        </w:rPr>
        <w:t>και</w:t>
      </w:r>
      <w:r w:rsidRPr="0089101B">
        <w:rPr>
          <w:lang w:val="el-GR"/>
        </w:rPr>
        <w:t xml:space="preserve"> </w:t>
      </w:r>
      <w:r w:rsidRPr="0089101B">
        <w:t>PL</w:t>
      </w:r>
      <w:r w:rsidRPr="0089101B">
        <w:rPr>
          <w:lang w:val="el-GR"/>
        </w:rPr>
        <w:t xml:space="preserve"> ανάπτυξη σημαίνει ότι </w:t>
      </w:r>
      <w:r w:rsidRPr="0089101B">
        <w:rPr>
          <w:b/>
          <w:bCs/>
          <w:lang w:val="el-GR"/>
        </w:rPr>
        <w:t xml:space="preserve">+1 π.μ. </w:t>
      </w:r>
      <w:r w:rsidRPr="0089101B">
        <w:rPr>
          <w:b/>
          <w:bCs/>
        </w:rPr>
        <w:t>discounters</w:t>
      </w:r>
      <w:r w:rsidRPr="0089101B">
        <w:rPr>
          <w:lang w:val="el-GR"/>
        </w:rPr>
        <w:t xml:space="preserve"> είναι </w:t>
      </w:r>
      <w:r w:rsidRPr="0089101B">
        <w:rPr>
          <w:b/>
          <w:bCs/>
          <w:lang w:val="el-GR"/>
        </w:rPr>
        <w:t>ρεαλιστικός</w:t>
      </w:r>
      <w:r w:rsidRPr="0089101B">
        <w:rPr>
          <w:lang w:val="el-GR"/>
        </w:rPr>
        <w:t xml:space="preserve"> στόχος, αλλά </w:t>
      </w:r>
      <w:r w:rsidRPr="0089101B">
        <w:rPr>
          <w:b/>
          <w:bCs/>
          <w:lang w:val="el-GR"/>
        </w:rPr>
        <w:t>όχι</w:t>
      </w:r>
      <w:r w:rsidRPr="0089101B">
        <w:rPr>
          <w:lang w:val="el-GR"/>
        </w:rPr>
        <w:t xml:space="preserve"> </w:t>
      </w:r>
      <w:r w:rsidRPr="0089101B">
        <w:t>game</w:t>
      </w:r>
      <w:r w:rsidRPr="0089101B">
        <w:rPr>
          <w:lang w:val="el-GR"/>
        </w:rPr>
        <w:t>-</w:t>
      </w:r>
      <w:r w:rsidRPr="0089101B">
        <w:t>changer</w:t>
      </w:r>
      <w:r w:rsidRPr="0089101B">
        <w:rPr>
          <w:lang w:val="el-GR"/>
        </w:rPr>
        <w:t xml:space="preserve"> μόνος του.</w:t>
      </w:r>
    </w:p>
    <w:p w14:paraId="68CF402A" w14:textId="77777777" w:rsidR="00A16C33" w:rsidRPr="0089101B" w:rsidRDefault="00A16C33" w:rsidP="00A16C33">
      <w:pPr>
        <w:pStyle w:val="FirstParagraph"/>
      </w:pPr>
      <w:r w:rsidRPr="0089101B">
        <w:pict w14:anchorId="4F0F7762">
          <v:rect id="_x0000_i1034" style="width:0;height:1.5pt" o:hralign="center" o:hrstd="t" o:hr="t" fillcolor="#a0a0a0" stroked="f"/>
        </w:pict>
      </w:r>
    </w:p>
    <w:p w14:paraId="71DD68FE" w14:textId="77777777" w:rsidR="00A16C33" w:rsidRPr="0089101B" w:rsidRDefault="00A16C33" w:rsidP="00A16C33">
      <w:pPr>
        <w:pStyle w:val="FirstParagraph"/>
        <w:rPr>
          <w:b/>
          <w:bCs/>
        </w:rPr>
      </w:pPr>
      <w:r w:rsidRPr="0089101B">
        <w:rPr>
          <w:b/>
          <w:bCs/>
        </w:rPr>
        <w:t>5) TSC &amp; Επιβ</w:t>
      </w:r>
      <w:proofErr w:type="spellStart"/>
      <w:r w:rsidRPr="0089101B">
        <w:rPr>
          <w:b/>
          <w:bCs/>
        </w:rPr>
        <w:t>ολή</w:t>
      </w:r>
      <w:proofErr w:type="spellEnd"/>
      <w:r w:rsidRPr="0089101B">
        <w:rPr>
          <w:b/>
          <w:bCs/>
        </w:rPr>
        <w:t xml:space="preserve"> κα</w:t>
      </w:r>
      <w:proofErr w:type="spellStart"/>
      <w:r w:rsidRPr="0089101B">
        <w:rPr>
          <w:b/>
          <w:bCs/>
        </w:rPr>
        <w:t>νόνων</w:t>
      </w:r>
      <w:proofErr w:type="spellEnd"/>
      <w:r w:rsidRPr="0089101B">
        <w:rPr>
          <w:b/>
          <w:bCs/>
        </w:rPr>
        <w:t xml:space="preserve"> (HCC)</w:t>
      </w:r>
    </w:p>
    <w:p w14:paraId="5611BB07" w14:textId="77777777" w:rsidR="00A16C33" w:rsidRPr="0089101B" w:rsidRDefault="00A16C33" w:rsidP="00A16C33">
      <w:pPr>
        <w:pStyle w:val="FirstParagraph"/>
      </w:pPr>
      <w:proofErr w:type="spellStart"/>
      <w:r w:rsidRPr="0089101B">
        <w:rPr>
          <w:b/>
          <w:bCs/>
        </w:rPr>
        <w:lastRenderedPageBreak/>
        <w:t>Πηγή</w:t>
      </w:r>
      <w:proofErr w:type="spellEnd"/>
      <w:r w:rsidRPr="0089101B">
        <w:rPr>
          <w:b/>
          <w:bCs/>
        </w:rPr>
        <w:t>:</w:t>
      </w:r>
      <w:r w:rsidRPr="0089101B">
        <w:t xml:space="preserve"> </w:t>
      </w:r>
      <w:proofErr w:type="spellStart"/>
      <w:r w:rsidRPr="0089101B">
        <w:t>TSC_Distribution</w:t>
      </w:r>
      <w:proofErr w:type="spellEnd"/>
      <w:r w:rsidRPr="0089101B">
        <w:t xml:space="preserve">, </w:t>
      </w:r>
      <w:proofErr w:type="spellStart"/>
      <w:r w:rsidRPr="0089101B">
        <w:t>HCC_Cases</w:t>
      </w:r>
      <w:proofErr w:type="spellEnd"/>
    </w:p>
    <w:p w14:paraId="0140E4F9" w14:textId="77777777" w:rsidR="00A16C33" w:rsidRPr="0089101B" w:rsidRDefault="00A16C33" w:rsidP="00A16C33">
      <w:pPr>
        <w:pStyle w:val="FirstParagraph"/>
        <w:numPr>
          <w:ilvl w:val="0"/>
          <w:numId w:val="75"/>
        </w:numPr>
        <w:rPr>
          <w:lang w:val="el-GR"/>
        </w:rPr>
      </w:pPr>
      <w:r w:rsidRPr="0089101B">
        <w:rPr>
          <w:b/>
          <w:bCs/>
        </w:rPr>
        <w:t xml:space="preserve">TSC / </w:t>
      </w:r>
      <w:proofErr w:type="spellStart"/>
      <w:r w:rsidRPr="0089101B">
        <w:rPr>
          <w:b/>
          <w:bCs/>
        </w:rPr>
        <w:t>συσκευ</w:t>
      </w:r>
      <w:proofErr w:type="spellEnd"/>
      <w:r w:rsidRPr="0089101B">
        <w:rPr>
          <w:b/>
          <w:bCs/>
        </w:rPr>
        <w:t>ασίες &amp; π</w:t>
      </w:r>
      <w:proofErr w:type="spellStart"/>
      <w:r w:rsidRPr="0089101B">
        <w:rPr>
          <w:b/>
          <w:bCs/>
        </w:rPr>
        <w:t>ρόσ</w:t>
      </w:r>
      <w:proofErr w:type="spellEnd"/>
      <w:r w:rsidRPr="0089101B">
        <w:rPr>
          <w:b/>
          <w:bCs/>
        </w:rPr>
        <w:t>βαση:</w:t>
      </w:r>
      <w:r w:rsidRPr="0089101B">
        <w:t xml:space="preserve"> </w:t>
      </w:r>
      <w:proofErr w:type="spellStart"/>
      <w:r w:rsidRPr="0089101B">
        <w:t>Το</w:t>
      </w:r>
      <w:proofErr w:type="spellEnd"/>
      <w:r w:rsidRPr="0089101B">
        <w:t xml:space="preserve"> </w:t>
      </w:r>
      <w:proofErr w:type="spellStart"/>
      <w:r w:rsidRPr="0089101B">
        <w:t>TSC_Distribution</w:t>
      </w:r>
      <w:proofErr w:type="spellEnd"/>
      <w:r w:rsidRPr="0089101B">
        <w:t xml:space="preserve"> κατα</w:t>
      </w:r>
      <w:proofErr w:type="spellStart"/>
      <w:r w:rsidRPr="0089101B">
        <w:t>γράφει</w:t>
      </w:r>
      <w:proofErr w:type="spellEnd"/>
      <w:r w:rsidRPr="0089101B">
        <w:t xml:space="preserve"> </w:t>
      </w:r>
      <w:r w:rsidRPr="0089101B">
        <w:rPr>
          <w:b/>
          <w:bCs/>
        </w:rPr>
        <w:t xml:space="preserve">12 </w:t>
      </w:r>
      <w:proofErr w:type="spellStart"/>
      <w:r w:rsidRPr="0089101B">
        <w:rPr>
          <w:b/>
          <w:bCs/>
        </w:rPr>
        <w:t>συμ</w:t>
      </w:r>
      <w:proofErr w:type="spellEnd"/>
      <w:r w:rsidRPr="0089101B">
        <w:rPr>
          <w:b/>
          <w:bCs/>
        </w:rPr>
        <w:t>βάντα</w:t>
      </w:r>
      <w:r w:rsidRPr="0089101B">
        <w:t xml:space="preserve"> 2024–2025 (EC/EPRS briefs, </w:t>
      </w:r>
      <w:proofErr w:type="spellStart"/>
      <w:r w:rsidRPr="0089101B">
        <w:t>ελέγχους</w:t>
      </w:r>
      <w:proofErr w:type="spellEnd"/>
      <w:r w:rsidRPr="0089101B">
        <w:t xml:space="preserve"> HCC). </w:t>
      </w:r>
      <w:r w:rsidRPr="0089101B">
        <w:rPr>
          <w:lang w:val="el-GR"/>
        </w:rPr>
        <w:t xml:space="preserve">Το </w:t>
      </w:r>
      <w:r w:rsidRPr="0089101B">
        <w:t>pattern</w:t>
      </w:r>
      <w:r w:rsidRPr="0089101B">
        <w:rPr>
          <w:lang w:val="el-GR"/>
        </w:rPr>
        <w:t xml:space="preserve"> συνάδει με </w:t>
      </w:r>
      <w:r w:rsidRPr="0089101B">
        <w:rPr>
          <w:b/>
          <w:bCs/>
          <w:lang w:val="el-GR"/>
        </w:rPr>
        <w:t>εκτεταμένη διαφοροποίηση συσκευασιών</w:t>
      </w:r>
      <w:r w:rsidRPr="0089101B">
        <w:rPr>
          <w:lang w:val="el-GR"/>
        </w:rPr>
        <w:t xml:space="preserve"> και περιορισμούς πρόσβασης/όγκων ανά αγορά.</w:t>
      </w:r>
    </w:p>
    <w:p w14:paraId="319CC760" w14:textId="77777777" w:rsidR="00A16C33" w:rsidRPr="0089101B" w:rsidRDefault="00A16C33" w:rsidP="00A16C33">
      <w:pPr>
        <w:pStyle w:val="FirstParagraph"/>
        <w:numPr>
          <w:ilvl w:val="0"/>
          <w:numId w:val="75"/>
        </w:numPr>
        <w:rPr>
          <w:lang w:val="el-GR"/>
        </w:rPr>
      </w:pPr>
      <w:r w:rsidRPr="0089101B">
        <w:rPr>
          <w:b/>
          <w:bCs/>
        </w:rPr>
        <w:t>HCC</w:t>
      </w:r>
      <w:r w:rsidRPr="0089101B">
        <w:rPr>
          <w:b/>
          <w:bCs/>
          <w:lang w:val="el-GR"/>
        </w:rPr>
        <w:t xml:space="preserve"> </w:t>
      </w:r>
      <w:r w:rsidRPr="0089101B">
        <w:rPr>
          <w:b/>
          <w:bCs/>
        </w:rPr>
        <w:t>cases</w:t>
      </w:r>
      <w:r w:rsidRPr="0089101B">
        <w:rPr>
          <w:b/>
          <w:bCs/>
          <w:lang w:val="el-GR"/>
        </w:rPr>
        <w:t>:</w:t>
      </w:r>
      <w:r w:rsidRPr="0089101B">
        <w:rPr>
          <w:lang w:val="el-GR"/>
        </w:rPr>
        <w:t xml:space="preserve"> Το </w:t>
      </w:r>
      <w:r w:rsidRPr="0089101B">
        <w:t>sheet</w:t>
      </w:r>
      <w:r w:rsidRPr="0089101B">
        <w:rPr>
          <w:lang w:val="el-GR"/>
        </w:rPr>
        <w:t xml:space="preserve"> παραθέτει </w:t>
      </w:r>
      <w:r w:rsidRPr="0089101B">
        <w:rPr>
          <w:b/>
          <w:bCs/>
          <w:lang w:val="el-GR"/>
        </w:rPr>
        <w:t>6 υποθέσεις</w:t>
      </w:r>
      <w:r w:rsidRPr="0089101B">
        <w:rPr>
          <w:lang w:val="el-GR"/>
        </w:rPr>
        <w:t xml:space="preserve"> (2022–2025, διάφορες κατηγορίες).</w:t>
      </w:r>
      <w:r w:rsidRPr="0089101B">
        <w:rPr>
          <w:lang w:val="el-GR"/>
        </w:rPr>
        <w:br/>
        <w:t xml:space="preserve">→ Η </w:t>
      </w:r>
      <w:r w:rsidRPr="0089101B">
        <w:rPr>
          <w:b/>
          <w:bCs/>
          <w:lang w:val="el-GR"/>
        </w:rPr>
        <w:t>ενεργοποίηση της επιβολής</w:t>
      </w:r>
      <w:r w:rsidRPr="0089101B">
        <w:rPr>
          <w:lang w:val="el-GR"/>
        </w:rPr>
        <w:t xml:space="preserve"> είναι ορατή, αλλά χρειάζεται </w:t>
      </w:r>
      <w:r w:rsidRPr="0089101B">
        <w:rPr>
          <w:b/>
          <w:bCs/>
          <w:lang w:val="el-GR"/>
        </w:rPr>
        <w:t>μετρήσιμος στόχος</w:t>
      </w:r>
      <w:r w:rsidRPr="0089101B">
        <w:rPr>
          <w:lang w:val="el-GR"/>
        </w:rPr>
        <w:t xml:space="preserve"> (π.χ. ≥5 δεσμεύσεις/υποθέσεις/12μηνο), όπως έχουμε ήδη βάλει στο </w:t>
      </w:r>
      <w:r w:rsidRPr="0089101B">
        <w:t>memo</w:t>
      </w:r>
      <w:r w:rsidRPr="0089101B">
        <w:rPr>
          <w:lang w:val="el-GR"/>
        </w:rPr>
        <w:t>.</w:t>
      </w:r>
    </w:p>
    <w:p w14:paraId="66997A14" w14:textId="77777777" w:rsidR="00A16C33" w:rsidRPr="0089101B" w:rsidRDefault="00A16C33" w:rsidP="00A16C33">
      <w:pPr>
        <w:pStyle w:val="FirstParagraph"/>
        <w:rPr>
          <w:lang w:val="el-GR"/>
        </w:rPr>
      </w:pPr>
      <w:r w:rsidRPr="0089101B">
        <w:rPr>
          <w:b/>
          <w:bCs/>
          <w:lang w:val="el-GR"/>
        </w:rPr>
        <w:t>Συμπέρασμα:</w:t>
      </w:r>
      <w:r w:rsidRPr="0089101B">
        <w:rPr>
          <w:lang w:val="el-GR"/>
        </w:rPr>
        <w:br/>
        <w:t xml:space="preserve">Υπάρχει </w:t>
      </w:r>
      <w:r w:rsidRPr="0089101B">
        <w:rPr>
          <w:b/>
          <w:bCs/>
          <w:lang w:val="el-GR"/>
        </w:rPr>
        <w:t xml:space="preserve">ρυθμιστικό </w:t>
      </w:r>
      <w:r w:rsidRPr="0089101B">
        <w:rPr>
          <w:b/>
          <w:bCs/>
        </w:rPr>
        <w:t>momentum</w:t>
      </w:r>
      <w:r w:rsidRPr="0089101B">
        <w:rPr>
          <w:lang w:val="el-GR"/>
        </w:rPr>
        <w:t xml:space="preserve">. Για να “γράψει” όμως στην τιμή ραφιού, χρειάζεται να συνδεθεί με </w:t>
      </w:r>
      <w:r w:rsidRPr="0089101B">
        <w:rPr>
          <w:b/>
          <w:bCs/>
        </w:rPr>
        <w:t>SKU</w:t>
      </w:r>
      <w:r w:rsidRPr="0089101B">
        <w:rPr>
          <w:b/>
          <w:bCs/>
          <w:lang w:val="el-GR"/>
        </w:rPr>
        <w:t>-</w:t>
      </w:r>
      <w:r w:rsidRPr="0089101B">
        <w:rPr>
          <w:b/>
          <w:bCs/>
        </w:rPr>
        <w:t>harmonization</w:t>
      </w:r>
      <w:r w:rsidRPr="0089101B">
        <w:rPr>
          <w:lang w:val="el-GR"/>
        </w:rPr>
        <w:t xml:space="preserve"> και </w:t>
      </w:r>
      <w:r w:rsidRPr="0089101B">
        <w:rPr>
          <w:b/>
          <w:bCs/>
          <w:lang w:val="el-GR"/>
        </w:rPr>
        <w:t xml:space="preserve">διαφάνεια </w:t>
      </w:r>
      <w:r w:rsidRPr="0089101B">
        <w:rPr>
          <w:b/>
          <w:bCs/>
        </w:rPr>
        <w:t>net</w:t>
      </w:r>
      <w:r w:rsidRPr="0089101B">
        <w:rPr>
          <w:b/>
          <w:bCs/>
          <w:lang w:val="el-GR"/>
        </w:rPr>
        <w:t xml:space="preserve"> </w:t>
      </w:r>
      <w:r w:rsidRPr="0089101B">
        <w:rPr>
          <w:b/>
          <w:bCs/>
        </w:rPr>
        <w:t>price</w:t>
      </w:r>
      <w:r w:rsidRPr="0089101B">
        <w:rPr>
          <w:lang w:val="el-GR"/>
        </w:rPr>
        <w:t xml:space="preserve"> (πολιτικές Α &amp; Β) και με </w:t>
      </w:r>
      <w:r w:rsidRPr="0089101B">
        <w:rPr>
          <w:b/>
          <w:bCs/>
          <w:lang w:val="el-GR"/>
        </w:rPr>
        <w:t>ράφι για ΜΜΕ</w:t>
      </w:r>
      <w:r w:rsidRPr="0089101B">
        <w:rPr>
          <w:lang w:val="el-GR"/>
        </w:rPr>
        <w:t xml:space="preserve"> (πολιτική Δ).</w:t>
      </w:r>
    </w:p>
    <w:p w14:paraId="44C4E636" w14:textId="767FC0E8" w:rsidR="00D12B9F" w:rsidRPr="00A16C33" w:rsidRDefault="00D12B9F" w:rsidP="00A16C33">
      <w:pPr>
        <w:rPr>
          <w:lang w:val="el-GR"/>
        </w:rPr>
      </w:pPr>
    </w:p>
    <w:sectPr w:rsidR="00D12B9F" w:rsidRPr="00A16C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6581" w14:textId="77777777" w:rsidR="00797877" w:rsidRDefault="00797877" w:rsidP="004156F2">
      <w:pPr>
        <w:spacing w:after="0" w:line="240" w:lineRule="auto"/>
      </w:pPr>
      <w:r>
        <w:separator/>
      </w:r>
    </w:p>
  </w:endnote>
  <w:endnote w:type="continuationSeparator" w:id="0">
    <w:p w14:paraId="28A155D3" w14:textId="77777777" w:rsidR="00797877" w:rsidRDefault="00797877" w:rsidP="0041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967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145DD" w14:textId="05270684" w:rsidR="004156F2" w:rsidRDefault="00415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ED58F" w14:textId="77777777" w:rsidR="004156F2" w:rsidRDefault="0041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DAC1" w14:textId="77777777" w:rsidR="00797877" w:rsidRDefault="00797877" w:rsidP="004156F2">
      <w:pPr>
        <w:spacing w:after="0" w:line="240" w:lineRule="auto"/>
      </w:pPr>
      <w:r>
        <w:separator/>
      </w:r>
    </w:p>
  </w:footnote>
  <w:footnote w:type="continuationSeparator" w:id="0">
    <w:p w14:paraId="2AAA4EFA" w14:textId="77777777" w:rsidR="00797877" w:rsidRDefault="00797877" w:rsidP="0041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9310" w14:textId="61100F74" w:rsidR="004156F2" w:rsidRPr="004156F2" w:rsidRDefault="004156F2" w:rsidP="004156F2">
    <w:pPr>
      <w:pStyle w:val="Header"/>
      <w:jc w:val="center"/>
      <w:rPr>
        <w:rFonts w:ascii="Fira Mono" w:hAnsi="Fira Mono"/>
      </w:rPr>
    </w:pPr>
    <w:r w:rsidRPr="004156F2">
      <w:rPr>
        <w:rFonts w:ascii="Fira Mono" w:hAnsi="Fira Mono"/>
        <w:noProof/>
      </w:rPr>
      <w:drawing>
        <wp:anchor distT="0" distB="0" distL="114300" distR="114300" simplePos="0" relativeHeight="251659264" behindDoc="1" locked="0" layoutInCell="1" allowOverlap="1" wp14:anchorId="0500BB54" wp14:editId="2A296406">
          <wp:simplePos x="0" y="0"/>
          <wp:positionH relativeFrom="leftMargin">
            <wp:align>right</wp:align>
          </wp:positionH>
          <wp:positionV relativeFrom="paragraph">
            <wp:posOffset>-457200</wp:posOffset>
          </wp:positionV>
          <wp:extent cx="904875" cy="904875"/>
          <wp:effectExtent l="0" t="0" r="9525" b="9525"/>
          <wp:wrapNone/>
          <wp:docPr id="1932666615" name="Picture 5" descr="A black and pink circuit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66615" name="Picture 5" descr="A black and pink circuit bo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156F2">
      <w:rPr>
        <w:rFonts w:ascii="Fira Mono" w:hAnsi="Fira Mono"/>
      </w:rPr>
      <w:t>EconScope</w:t>
    </w:r>
    <w:proofErr w:type="spellEnd"/>
    <w:r w:rsidRPr="004156F2">
      <w:rPr>
        <w:rFonts w:ascii="Fira Mono" w:hAnsi="Fira Mono"/>
      </w:rPr>
      <w:t xml:space="preserve"> by The Agora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6FBAB1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D7456"/>
    <w:multiLevelType w:val="multilevel"/>
    <w:tmpl w:val="D5C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A7A77"/>
    <w:multiLevelType w:val="multilevel"/>
    <w:tmpl w:val="FB9A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2664E"/>
    <w:multiLevelType w:val="multilevel"/>
    <w:tmpl w:val="1D5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C6B72"/>
    <w:multiLevelType w:val="hybridMultilevel"/>
    <w:tmpl w:val="6026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EEB"/>
    <w:multiLevelType w:val="multilevel"/>
    <w:tmpl w:val="DAC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C40EA"/>
    <w:multiLevelType w:val="multilevel"/>
    <w:tmpl w:val="1A0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23AEB"/>
    <w:multiLevelType w:val="multilevel"/>
    <w:tmpl w:val="3384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249B5"/>
    <w:multiLevelType w:val="multilevel"/>
    <w:tmpl w:val="CBF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81B94"/>
    <w:multiLevelType w:val="multilevel"/>
    <w:tmpl w:val="624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974B1"/>
    <w:multiLevelType w:val="multilevel"/>
    <w:tmpl w:val="0FE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120B0D"/>
    <w:multiLevelType w:val="multilevel"/>
    <w:tmpl w:val="54C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7D08ED"/>
    <w:multiLevelType w:val="hybridMultilevel"/>
    <w:tmpl w:val="40DA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94775"/>
    <w:multiLevelType w:val="multilevel"/>
    <w:tmpl w:val="3C9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A07C3"/>
    <w:multiLevelType w:val="multilevel"/>
    <w:tmpl w:val="E57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0B309F"/>
    <w:multiLevelType w:val="multilevel"/>
    <w:tmpl w:val="ECA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6F278E"/>
    <w:multiLevelType w:val="multilevel"/>
    <w:tmpl w:val="41D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7C6B8B"/>
    <w:multiLevelType w:val="multilevel"/>
    <w:tmpl w:val="116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FA4DBE"/>
    <w:multiLevelType w:val="multilevel"/>
    <w:tmpl w:val="6B5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9038B5"/>
    <w:multiLevelType w:val="multilevel"/>
    <w:tmpl w:val="715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5631EC"/>
    <w:multiLevelType w:val="multilevel"/>
    <w:tmpl w:val="BBD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D31A41"/>
    <w:multiLevelType w:val="multilevel"/>
    <w:tmpl w:val="DBEC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02076D"/>
    <w:multiLevelType w:val="multilevel"/>
    <w:tmpl w:val="FC8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6D7891"/>
    <w:multiLevelType w:val="multilevel"/>
    <w:tmpl w:val="643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6E066C"/>
    <w:multiLevelType w:val="multilevel"/>
    <w:tmpl w:val="010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4A3DD9"/>
    <w:multiLevelType w:val="multilevel"/>
    <w:tmpl w:val="FE6E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361C7C"/>
    <w:multiLevelType w:val="multilevel"/>
    <w:tmpl w:val="E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A664D7"/>
    <w:multiLevelType w:val="multilevel"/>
    <w:tmpl w:val="B046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E42129"/>
    <w:multiLevelType w:val="multilevel"/>
    <w:tmpl w:val="BDD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656D77"/>
    <w:multiLevelType w:val="multilevel"/>
    <w:tmpl w:val="6FC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BD1797"/>
    <w:multiLevelType w:val="multilevel"/>
    <w:tmpl w:val="86C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EA129F"/>
    <w:multiLevelType w:val="multilevel"/>
    <w:tmpl w:val="0B8C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691C2A"/>
    <w:multiLevelType w:val="hybridMultilevel"/>
    <w:tmpl w:val="39BA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BA07AF"/>
    <w:multiLevelType w:val="multilevel"/>
    <w:tmpl w:val="E60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025D05"/>
    <w:multiLevelType w:val="multilevel"/>
    <w:tmpl w:val="CBBA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6E163A"/>
    <w:multiLevelType w:val="hybridMultilevel"/>
    <w:tmpl w:val="DFC4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D44FD8"/>
    <w:multiLevelType w:val="multilevel"/>
    <w:tmpl w:val="90FE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DD7CDA"/>
    <w:multiLevelType w:val="multilevel"/>
    <w:tmpl w:val="F4D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AA10BB"/>
    <w:multiLevelType w:val="multilevel"/>
    <w:tmpl w:val="23AC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AB7942"/>
    <w:multiLevelType w:val="multilevel"/>
    <w:tmpl w:val="50EC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DB12E1"/>
    <w:multiLevelType w:val="multilevel"/>
    <w:tmpl w:val="CA2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3C20D1"/>
    <w:multiLevelType w:val="multilevel"/>
    <w:tmpl w:val="5C6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E97665"/>
    <w:multiLevelType w:val="multilevel"/>
    <w:tmpl w:val="C78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CB7130"/>
    <w:multiLevelType w:val="multilevel"/>
    <w:tmpl w:val="23F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DB591C"/>
    <w:multiLevelType w:val="multilevel"/>
    <w:tmpl w:val="AEB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8C5B43"/>
    <w:multiLevelType w:val="multilevel"/>
    <w:tmpl w:val="AE3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E31EB7"/>
    <w:multiLevelType w:val="hybridMultilevel"/>
    <w:tmpl w:val="225E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39328D"/>
    <w:multiLevelType w:val="multilevel"/>
    <w:tmpl w:val="00F6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251B85"/>
    <w:multiLevelType w:val="multilevel"/>
    <w:tmpl w:val="DD1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A66E90"/>
    <w:multiLevelType w:val="multilevel"/>
    <w:tmpl w:val="A89E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4223DD"/>
    <w:multiLevelType w:val="multilevel"/>
    <w:tmpl w:val="3582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9A692C"/>
    <w:multiLevelType w:val="multilevel"/>
    <w:tmpl w:val="38F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7B2111"/>
    <w:multiLevelType w:val="hybridMultilevel"/>
    <w:tmpl w:val="D70A1B64"/>
    <w:lvl w:ilvl="0" w:tplc="42A2BA2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206240"/>
    <w:multiLevelType w:val="multilevel"/>
    <w:tmpl w:val="F9DA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0353BA"/>
    <w:multiLevelType w:val="multilevel"/>
    <w:tmpl w:val="8E66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3D0174"/>
    <w:multiLevelType w:val="multilevel"/>
    <w:tmpl w:val="D82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4F6EB0"/>
    <w:multiLevelType w:val="multilevel"/>
    <w:tmpl w:val="284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507286"/>
    <w:multiLevelType w:val="multilevel"/>
    <w:tmpl w:val="A0C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0F2180"/>
    <w:multiLevelType w:val="multilevel"/>
    <w:tmpl w:val="A6B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F35460"/>
    <w:multiLevelType w:val="multilevel"/>
    <w:tmpl w:val="4536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BD715B"/>
    <w:multiLevelType w:val="hybridMultilevel"/>
    <w:tmpl w:val="1D8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440680"/>
    <w:multiLevelType w:val="hybridMultilevel"/>
    <w:tmpl w:val="06B4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CD7544"/>
    <w:multiLevelType w:val="multilevel"/>
    <w:tmpl w:val="1B86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0D75EC9"/>
    <w:multiLevelType w:val="multilevel"/>
    <w:tmpl w:val="086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F22F64"/>
    <w:multiLevelType w:val="multilevel"/>
    <w:tmpl w:val="9CC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586350"/>
    <w:multiLevelType w:val="hybridMultilevel"/>
    <w:tmpl w:val="7662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CC1F6E"/>
    <w:multiLevelType w:val="multilevel"/>
    <w:tmpl w:val="E0C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4D6515"/>
    <w:multiLevelType w:val="hybridMultilevel"/>
    <w:tmpl w:val="26445FA6"/>
    <w:lvl w:ilvl="0" w:tplc="81C0471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6B35A5"/>
    <w:multiLevelType w:val="multilevel"/>
    <w:tmpl w:val="55F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023E99"/>
    <w:multiLevelType w:val="multilevel"/>
    <w:tmpl w:val="7292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A8B1237"/>
    <w:multiLevelType w:val="multilevel"/>
    <w:tmpl w:val="EE4C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0E623A"/>
    <w:multiLevelType w:val="multilevel"/>
    <w:tmpl w:val="1F9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C503B9"/>
    <w:multiLevelType w:val="multilevel"/>
    <w:tmpl w:val="1DF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5D2809"/>
    <w:multiLevelType w:val="multilevel"/>
    <w:tmpl w:val="4D7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F8153E"/>
    <w:multiLevelType w:val="multilevel"/>
    <w:tmpl w:val="246C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761444">
    <w:abstractNumId w:val="18"/>
  </w:num>
  <w:num w:numId="2" w16cid:durableId="1236668574">
    <w:abstractNumId w:val="23"/>
  </w:num>
  <w:num w:numId="3" w16cid:durableId="339044110">
    <w:abstractNumId w:val="16"/>
  </w:num>
  <w:num w:numId="4" w16cid:durableId="45230100">
    <w:abstractNumId w:val="3"/>
  </w:num>
  <w:num w:numId="5" w16cid:durableId="1515264385">
    <w:abstractNumId w:val="22"/>
  </w:num>
  <w:num w:numId="6" w16cid:durableId="1672222085">
    <w:abstractNumId w:val="38"/>
  </w:num>
  <w:num w:numId="7" w16cid:durableId="1654289083">
    <w:abstractNumId w:val="54"/>
  </w:num>
  <w:num w:numId="8" w16cid:durableId="1694257997">
    <w:abstractNumId w:val="56"/>
  </w:num>
  <w:num w:numId="9" w16cid:durableId="1660570899">
    <w:abstractNumId w:val="39"/>
  </w:num>
  <w:num w:numId="10" w16cid:durableId="1352225604">
    <w:abstractNumId w:val="2"/>
  </w:num>
  <w:num w:numId="11" w16cid:durableId="2056392208">
    <w:abstractNumId w:val="6"/>
  </w:num>
  <w:num w:numId="12" w16cid:durableId="1277174694">
    <w:abstractNumId w:val="64"/>
  </w:num>
  <w:num w:numId="13" w16cid:durableId="1118715469">
    <w:abstractNumId w:val="71"/>
  </w:num>
  <w:num w:numId="14" w16cid:durableId="487210984">
    <w:abstractNumId w:val="21"/>
  </w:num>
  <w:num w:numId="15" w16cid:durableId="1794129719">
    <w:abstractNumId w:val="72"/>
  </w:num>
  <w:num w:numId="16" w16cid:durableId="298339748">
    <w:abstractNumId w:val="53"/>
  </w:num>
  <w:num w:numId="17" w16cid:durableId="2027098188">
    <w:abstractNumId w:val="28"/>
  </w:num>
  <w:num w:numId="18" w16cid:durableId="1676611908">
    <w:abstractNumId w:val="47"/>
  </w:num>
  <w:num w:numId="19" w16cid:durableId="431442584">
    <w:abstractNumId w:val="37"/>
  </w:num>
  <w:num w:numId="20" w16cid:durableId="1377925520">
    <w:abstractNumId w:val="10"/>
  </w:num>
  <w:num w:numId="21" w16cid:durableId="2015958634">
    <w:abstractNumId w:val="74"/>
  </w:num>
  <w:num w:numId="22" w16cid:durableId="2109764238">
    <w:abstractNumId w:val="42"/>
  </w:num>
  <w:num w:numId="23" w16cid:durableId="1001741111">
    <w:abstractNumId w:val="41"/>
  </w:num>
  <w:num w:numId="24" w16cid:durableId="1816678357">
    <w:abstractNumId w:val="27"/>
  </w:num>
  <w:num w:numId="25" w16cid:durableId="840511762">
    <w:abstractNumId w:val="45"/>
  </w:num>
  <w:num w:numId="26" w16cid:durableId="251668143">
    <w:abstractNumId w:val="50"/>
  </w:num>
  <w:num w:numId="27" w16cid:durableId="1726954557">
    <w:abstractNumId w:val="7"/>
  </w:num>
  <w:num w:numId="28" w16cid:durableId="586229559">
    <w:abstractNumId w:val="30"/>
  </w:num>
  <w:num w:numId="29" w16cid:durableId="2122869531">
    <w:abstractNumId w:val="25"/>
  </w:num>
  <w:num w:numId="30" w16cid:durableId="1826239781">
    <w:abstractNumId w:val="13"/>
  </w:num>
  <w:num w:numId="31" w16cid:durableId="1983539824">
    <w:abstractNumId w:val="1"/>
  </w:num>
  <w:num w:numId="32" w16cid:durableId="1730614321">
    <w:abstractNumId w:val="34"/>
  </w:num>
  <w:num w:numId="33" w16cid:durableId="898519572">
    <w:abstractNumId w:val="59"/>
  </w:num>
  <w:num w:numId="34" w16cid:durableId="1850831245">
    <w:abstractNumId w:val="62"/>
  </w:num>
  <w:num w:numId="35" w16cid:durableId="351341583">
    <w:abstractNumId w:val="73"/>
  </w:num>
  <w:num w:numId="36" w16cid:durableId="577324540">
    <w:abstractNumId w:val="40"/>
  </w:num>
  <w:num w:numId="37" w16cid:durableId="1326087115">
    <w:abstractNumId w:val="14"/>
  </w:num>
  <w:num w:numId="38" w16cid:durableId="731468921">
    <w:abstractNumId w:val="24"/>
  </w:num>
  <w:num w:numId="39" w16cid:durableId="902522475">
    <w:abstractNumId w:val="19"/>
  </w:num>
  <w:num w:numId="40" w16cid:durableId="741293360">
    <w:abstractNumId w:val="66"/>
  </w:num>
  <w:num w:numId="41" w16cid:durableId="808790195">
    <w:abstractNumId w:val="26"/>
  </w:num>
  <w:num w:numId="42" w16cid:durableId="365756937">
    <w:abstractNumId w:val="70"/>
  </w:num>
  <w:num w:numId="43" w16cid:durableId="1367636378">
    <w:abstractNumId w:val="33"/>
  </w:num>
  <w:num w:numId="44" w16cid:durableId="1857036460">
    <w:abstractNumId w:val="51"/>
  </w:num>
  <w:num w:numId="45" w16cid:durableId="395977941">
    <w:abstractNumId w:val="9"/>
  </w:num>
  <w:num w:numId="46" w16cid:durableId="72895028">
    <w:abstractNumId w:val="20"/>
  </w:num>
  <w:num w:numId="47" w16cid:durableId="101535767">
    <w:abstractNumId w:val="68"/>
  </w:num>
  <w:num w:numId="48" w16cid:durableId="989021129">
    <w:abstractNumId w:val="57"/>
  </w:num>
  <w:num w:numId="49" w16cid:durableId="1355571640">
    <w:abstractNumId w:val="44"/>
  </w:num>
  <w:num w:numId="50" w16cid:durableId="2091417482">
    <w:abstractNumId w:val="15"/>
  </w:num>
  <w:num w:numId="51" w16cid:durableId="1098409238">
    <w:abstractNumId w:val="17"/>
  </w:num>
  <w:num w:numId="52" w16cid:durableId="219680042">
    <w:abstractNumId w:val="49"/>
  </w:num>
  <w:num w:numId="53" w16cid:durableId="464740940">
    <w:abstractNumId w:val="48"/>
  </w:num>
  <w:num w:numId="54" w16cid:durableId="2013532421">
    <w:abstractNumId w:val="58"/>
  </w:num>
  <w:num w:numId="55" w16cid:durableId="1447966385">
    <w:abstractNumId w:val="31"/>
  </w:num>
  <w:num w:numId="56" w16cid:durableId="393242842">
    <w:abstractNumId w:val="63"/>
  </w:num>
  <w:num w:numId="57" w16cid:durableId="1997607221">
    <w:abstractNumId w:val="55"/>
  </w:num>
  <w:num w:numId="58" w16cid:durableId="609511805">
    <w:abstractNumId w:val="43"/>
  </w:num>
  <w:num w:numId="59" w16cid:durableId="91515247">
    <w:abstractNumId w:val="36"/>
  </w:num>
  <w:num w:numId="60" w16cid:durableId="1709454127">
    <w:abstractNumId w:val="46"/>
  </w:num>
  <w:num w:numId="61" w16cid:durableId="177157804">
    <w:abstractNumId w:val="32"/>
  </w:num>
  <w:num w:numId="62" w16cid:durableId="362753050">
    <w:abstractNumId w:val="12"/>
  </w:num>
  <w:num w:numId="63" w16cid:durableId="1265459428">
    <w:abstractNumId w:val="65"/>
  </w:num>
  <w:num w:numId="64" w16cid:durableId="1521549771">
    <w:abstractNumId w:val="4"/>
  </w:num>
  <w:num w:numId="65" w16cid:durableId="963850941">
    <w:abstractNumId w:val="35"/>
  </w:num>
  <w:num w:numId="66" w16cid:durableId="1546288065">
    <w:abstractNumId w:val="61"/>
  </w:num>
  <w:num w:numId="67" w16cid:durableId="462231855">
    <w:abstractNumId w:val="60"/>
  </w:num>
  <w:num w:numId="68" w16cid:durableId="863858734">
    <w:abstractNumId w:val="0"/>
  </w:num>
  <w:num w:numId="69" w16cid:durableId="1223101882">
    <w:abstractNumId w:val="67"/>
  </w:num>
  <w:num w:numId="70" w16cid:durableId="1664821998">
    <w:abstractNumId w:val="52"/>
  </w:num>
  <w:num w:numId="71" w16cid:durableId="1831099554">
    <w:abstractNumId w:val="29"/>
  </w:num>
  <w:num w:numId="72" w16cid:durableId="166134704">
    <w:abstractNumId w:val="5"/>
  </w:num>
  <w:num w:numId="73" w16cid:durableId="2085756606">
    <w:abstractNumId w:val="11"/>
  </w:num>
  <w:num w:numId="74" w16cid:durableId="1006904968">
    <w:abstractNumId w:val="8"/>
  </w:num>
  <w:num w:numId="75" w16cid:durableId="309292863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EE"/>
    <w:rsid w:val="00006163"/>
    <w:rsid w:val="00020244"/>
    <w:rsid w:val="0002084D"/>
    <w:rsid w:val="00027319"/>
    <w:rsid w:val="0005620B"/>
    <w:rsid w:val="00090CF7"/>
    <w:rsid w:val="000E32BF"/>
    <w:rsid w:val="00123A4C"/>
    <w:rsid w:val="00184DD4"/>
    <w:rsid w:val="00197D9D"/>
    <w:rsid w:val="001B14D9"/>
    <w:rsid w:val="001B39A7"/>
    <w:rsid w:val="001B55DD"/>
    <w:rsid w:val="001C7382"/>
    <w:rsid w:val="001E251E"/>
    <w:rsid w:val="001F74F5"/>
    <w:rsid w:val="002360AA"/>
    <w:rsid w:val="002E173C"/>
    <w:rsid w:val="00307D28"/>
    <w:rsid w:val="003124A3"/>
    <w:rsid w:val="00345F2A"/>
    <w:rsid w:val="00352244"/>
    <w:rsid w:val="003C001C"/>
    <w:rsid w:val="003C6D9C"/>
    <w:rsid w:val="003E4FCB"/>
    <w:rsid w:val="00413610"/>
    <w:rsid w:val="004156F2"/>
    <w:rsid w:val="004757D9"/>
    <w:rsid w:val="004C2773"/>
    <w:rsid w:val="004D7883"/>
    <w:rsid w:val="004E4527"/>
    <w:rsid w:val="004E6E2C"/>
    <w:rsid w:val="00511A12"/>
    <w:rsid w:val="00553335"/>
    <w:rsid w:val="005602EF"/>
    <w:rsid w:val="005624B3"/>
    <w:rsid w:val="0058219C"/>
    <w:rsid w:val="005F6F33"/>
    <w:rsid w:val="00620911"/>
    <w:rsid w:val="006545EA"/>
    <w:rsid w:val="006A684A"/>
    <w:rsid w:val="006B41CB"/>
    <w:rsid w:val="006C566A"/>
    <w:rsid w:val="006C7830"/>
    <w:rsid w:val="007575A5"/>
    <w:rsid w:val="00776792"/>
    <w:rsid w:val="00783868"/>
    <w:rsid w:val="00797877"/>
    <w:rsid w:val="00807028"/>
    <w:rsid w:val="008B2935"/>
    <w:rsid w:val="008D3602"/>
    <w:rsid w:val="008E5D55"/>
    <w:rsid w:val="00912CB4"/>
    <w:rsid w:val="00996E0D"/>
    <w:rsid w:val="009D2741"/>
    <w:rsid w:val="009D5677"/>
    <w:rsid w:val="00A16C33"/>
    <w:rsid w:val="00A337F1"/>
    <w:rsid w:val="00A4397C"/>
    <w:rsid w:val="00A72DCE"/>
    <w:rsid w:val="00AB13C7"/>
    <w:rsid w:val="00AB76ED"/>
    <w:rsid w:val="00AC7768"/>
    <w:rsid w:val="00B126CC"/>
    <w:rsid w:val="00BA167D"/>
    <w:rsid w:val="00BA16A6"/>
    <w:rsid w:val="00BA2157"/>
    <w:rsid w:val="00BA6BEE"/>
    <w:rsid w:val="00BB75D7"/>
    <w:rsid w:val="00BC30EE"/>
    <w:rsid w:val="00BF1A6B"/>
    <w:rsid w:val="00C2490F"/>
    <w:rsid w:val="00D12B9F"/>
    <w:rsid w:val="00D14B81"/>
    <w:rsid w:val="00D36D3B"/>
    <w:rsid w:val="00D46345"/>
    <w:rsid w:val="00D87788"/>
    <w:rsid w:val="00D94545"/>
    <w:rsid w:val="00DC33A7"/>
    <w:rsid w:val="00DC676D"/>
    <w:rsid w:val="00DF15CD"/>
    <w:rsid w:val="00E0393E"/>
    <w:rsid w:val="00E66487"/>
    <w:rsid w:val="00EC0463"/>
    <w:rsid w:val="00ED1A8A"/>
    <w:rsid w:val="00F843C0"/>
    <w:rsid w:val="00F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4DED0"/>
  <w15:chartTrackingRefBased/>
  <w15:docId w15:val="{DC68621D-D19E-468A-946F-D7CEC8E7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D28"/>
    <w:pPr>
      <w:keepNext/>
      <w:keepLines/>
      <w:spacing w:before="360" w:after="80"/>
      <w:outlineLvl w:val="0"/>
    </w:pPr>
    <w:rPr>
      <w:rFonts w:ascii="Fira Mono" w:eastAsiaTheme="majorEastAsia" w:hAnsi="Fira Mono" w:cstheme="majorBidi"/>
      <w:b/>
      <w:color w:val="FF1E7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D28"/>
    <w:pPr>
      <w:keepNext/>
      <w:keepLines/>
      <w:spacing w:before="160" w:after="80"/>
      <w:outlineLvl w:val="1"/>
    </w:pPr>
    <w:rPr>
      <w:rFonts w:ascii="Fira Mono" w:eastAsiaTheme="majorEastAsia" w:hAnsi="Fira Mono" w:cstheme="majorBidi"/>
      <w:b/>
      <w:color w:val="FF1E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244"/>
    <w:pPr>
      <w:keepNext/>
      <w:keepLines/>
      <w:spacing w:before="160" w:after="80"/>
      <w:outlineLvl w:val="2"/>
    </w:pPr>
    <w:rPr>
      <w:rFonts w:ascii="Fira Mono" w:eastAsiaTheme="majorEastAsia" w:hAnsi="Fira Mono" w:cstheme="majorBidi"/>
      <w:color w:val="FF1E7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F1E7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6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28"/>
    <w:rPr>
      <w:rFonts w:ascii="Fira Mono" w:eastAsiaTheme="majorEastAsia" w:hAnsi="Fira Mono" w:cstheme="majorBidi"/>
      <w:b/>
      <w:color w:val="FF1E7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7D28"/>
    <w:rPr>
      <w:rFonts w:ascii="Fira Mono" w:eastAsiaTheme="majorEastAsia" w:hAnsi="Fira Mono" w:cstheme="majorBidi"/>
      <w:b/>
      <w:color w:val="FF1E7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244"/>
    <w:rPr>
      <w:rFonts w:ascii="Fira Mono" w:eastAsiaTheme="majorEastAsia" w:hAnsi="Fira Mono" w:cstheme="majorBidi"/>
      <w:color w:val="FF1E7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7768"/>
    <w:rPr>
      <w:rFonts w:eastAsiaTheme="majorEastAsia" w:cstheme="majorBidi"/>
      <w:i/>
      <w:iCs/>
      <w:color w:val="FF1E79"/>
    </w:rPr>
  </w:style>
  <w:style w:type="character" w:customStyle="1" w:styleId="Heading5Char">
    <w:name w:val="Heading 5 Char"/>
    <w:basedOn w:val="DefaultParagraphFont"/>
    <w:link w:val="Heading5"/>
    <w:uiPriority w:val="9"/>
    <w:rsid w:val="00BA6B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B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BE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BA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A6BEE"/>
    <w:rPr>
      <w:b/>
      <w:bCs/>
    </w:rPr>
  </w:style>
  <w:style w:type="character" w:styleId="Hyperlink">
    <w:name w:val="Hyperlink"/>
    <w:basedOn w:val="DefaultParagraphFont"/>
    <w:uiPriority w:val="99"/>
    <w:unhideWhenUsed/>
    <w:rsid w:val="00FB200A"/>
    <w:rPr>
      <w:color w:val="E91E63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BEE"/>
    <w:rPr>
      <w:color w:val="800080"/>
      <w:u w:val="single"/>
    </w:rPr>
  </w:style>
  <w:style w:type="character" w:customStyle="1" w:styleId="truncate">
    <w:name w:val="truncate"/>
    <w:basedOn w:val="DefaultParagraphFont"/>
    <w:rsid w:val="00BA6BEE"/>
  </w:style>
  <w:style w:type="character" w:styleId="Emphasis">
    <w:name w:val="Emphasis"/>
    <w:basedOn w:val="DefaultParagraphFont"/>
    <w:uiPriority w:val="20"/>
    <w:qFormat/>
    <w:rsid w:val="00BA6BE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A6BEE"/>
    <w:rPr>
      <w:color w:val="605E5C"/>
      <w:shd w:val="clear" w:color="auto" w:fill="E1DFDD"/>
    </w:rPr>
  </w:style>
  <w:style w:type="table" w:styleId="GridTable5Dark">
    <w:name w:val="Grid Table 5 Dark"/>
    <w:basedOn w:val="TableNormal"/>
    <w:uiPriority w:val="50"/>
    <w:rsid w:val="00BA1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3">
    <w:name w:val="List Table 3"/>
    <w:basedOn w:val="TableNormal"/>
    <w:uiPriority w:val="48"/>
    <w:rsid w:val="00BA16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F2"/>
  </w:style>
  <w:style w:type="paragraph" w:styleId="Footer">
    <w:name w:val="footer"/>
    <w:basedOn w:val="Normal"/>
    <w:link w:val="FooterChar"/>
    <w:uiPriority w:val="99"/>
    <w:unhideWhenUsed/>
    <w:rsid w:val="00415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F2"/>
  </w:style>
  <w:style w:type="paragraph" w:styleId="TOCHeading">
    <w:name w:val="TOC Heading"/>
    <w:basedOn w:val="Heading1"/>
    <w:next w:val="Normal"/>
    <w:uiPriority w:val="39"/>
    <w:unhideWhenUsed/>
    <w:qFormat/>
    <w:rsid w:val="004757D9"/>
    <w:pPr>
      <w:spacing w:before="240" w:after="0"/>
      <w:outlineLvl w:val="9"/>
    </w:pPr>
    <w:rPr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2490F"/>
    <w:pPr>
      <w:tabs>
        <w:tab w:val="right" w:leader="dot" w:pos="9350"/>
      </w:tabs>
      <w:spacing w:after="100"/>
    </w:pPr>
    <w:rPr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2490F"/>
    <w:pPr>
      <w:tabs>
        <w:tab w:val="right" w:leader="dot" w:pos="9350"/>
      </w:tabs>
      <w:spacing w:after="100"/>
      <w:ind w:left="220"/>
    </w:pPr>
    <w:rPr>
      <w:rFonts w:ascii="Fira Mono" w:hAnsi="Fira Mono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757D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757D9"/>
    <w:pPr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4757D9"/>
    <w:pPr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4757D9"/>
    <w:pPr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4757D9"/>
    <w:pPr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4757D9"/>
    <w:pPr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4757D9"/>
    <w:pPr>
      <w:spacing w:after="100" w:line="278" w:lineRule="auto"/>
      <w:ind w:left="1920"/>
    </w:pPr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qFormat/>
    <w:rsid w:val="00A16C33"/>
    <w:pPr>
      <w:spacing w:before="180" w:after="180" w:line="240" w:lineRule="auto"/>
    </w:pPr>
    <w:rPr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A16C33"/>
    <w:rPr>
      <w:kern w:val="0"/>
      <w:sz w:val="24"/>
      <w:szCs w:val="24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A16C33"/>
  </w:style>
  <w:style w:type="paragraph" w:customStyle="1" w:styleId="Compact">
    <w:name w:val="Compact"/>
    <w:basedOn w:val="BodyText"/>
    <w:qFormat/>
    <w:rsid w:val="00A16C33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A16C33"/>
    <w:pPr>
      <w:spacing w:before="100" w:after="100"/>
      <w:ind w:left="480" w:right="480"/>
    </w:pPr>
  </w:style>
  <w:style w:type="character" w:customStyle="1" w:styleId="VerbatimChar">
    <w:name w:val="Verbatim Char"/>
    <w:basedOn w:val="DefaultParagraphFont"/>
    <w:link w:val="SourceCode"/>
    <w:rsid w:val="00A16C33"/>
    <w:rPr>
      <w:rFonts w:ascii="Consolas" w:hAnsi="Consolas"/>
    </w:rPr>
  </w:style>
  <w:style w:type="paragraph" w:customStyle="1" w:styleId="SourceCode">
    <w:name w:val="Source Code"/>
    <w:basedOn w:val="Normal"/>
    <w:link w:val="VerbatimChar"/>
    <w:rsid w:val="00A16C33"/>
    <w:pPr>
      <w:wordWrap w:val="0"/>
      <w:spacing w:after="200" w:line="240" w:lineRule="auto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8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2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49A6-C74F-4C20-92BD-2B3A5187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Tsak</dc:creator>
  <cp:keywords/>
  <dc:description/>
  <cp:lastModifiedBy>Paris Tsak</cp:lastModifiedBy>
  <cp:revision>3</cp:revision>
  <cp:lastPrinted>2025-03-13T04:27:00Z</cp:lastPrinted>
  <dcterms:created xsi:type="dcterms:W3CDTF">2025-09-17T06:21:00Z</dcterms:created>
  <dcterms:modified xsi:type="dcterms:W3CDTF">2025-09-17T06:21:00Z</dcterms:modified>
</cp:coreProperties>
</file>