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221E8C">
        <w:tblPrEx>
          <w:tblCellMar>
            <w:top w:w="0" w:type="dxa"/>
            <w:bottom w:w="0" w:type="dxa"/>
          </w:tblCellMar>
        </w:tblPrEx>
        <w:tc>
          <w:tcPr>
            <w:tcW w:w="9360" w:type="dxa"/>
            <w:tcBorders>
              <w:top w:val="none" w:sz="0" w:space="0" w:color="FFFFFF"/>
              <w:left w:val="none" w:sz="0" w:space="0" w:color="FFFFFF"/>
              <w:bottom w:val="none" w:sz="0" w:space="0" w:color="FFFFFF"/>
              <w:right w:val="none" w:sz="0" w:space="0" w:color="FFFFFF"/>
            </w:tcBorders>
            <w:shd w:val="clear" w:color="auto" w:fill="0D1F2D"/>
            <w:tcMar>
              <w:top w:w="600" w:type="dxa"/>
              <w:left w:w="480" w:type="dxa"/>
              <w:bottom w:w="600" w:type="dxa"/>
              <w:right w:w="480" w:type="dxa"/>
            </w:tcMar>
          </w:tcPr>
          <w:p w:rsidR="00221E8C" w:rsidRDefault="009B1883">
            <w:pPr>
              <w:spacing w:after="200"/>
              <w:jc w:val="center"/>
            </w:pPr>
            <w:r>
              <w:rPr>
                <w:color w:val="FFFFFF"/>
              </w:rPr>
              <w:t>THE PEOPLES ECONOMY</w:t>
            </w:r>
          </w:p>
          <w:p w:rsidR="00221E8C" w:rsidRDefault="009B1883">
            <w:pPr>
              <w:spacing w:after="160"/>
              <w:jc w:val="center"/>
            </w:pPr>
            <w:r>
              <w:rPr>
                <w:b/>
                <w:bCs/>
                <w:color w:val="FFFFFF"/>
                <w:sz w:val="52"/>
                <w:szCs w:val="52"/>
              </w:rPr>
              <w:t>Financial Repositioning Plan</w:t>
            </w:r>
          </w:p>
          <w:p w:rsidR="00221E8C" w:rsidRDefault="009B1883">
            <w:pPr>
              <w:spacing w:after="160"/>
              <w:jc w:val="center"/>
            </w:pPr>
            <w:r>
              <w:rPr>
                <w:color w:val="2D6E47"/>
                <w:sz w:val="32"/>
                <w:szCs w:val="32"/>
              </w:rPr>
              <w:t>—</w:t>
            </w:r>
          </w:p>
          <w:p w:rsidR="00221E8C" w:rsidRDefault="009B1883">
            <w:pPr>
              <w:spacing w:after="80"/>
              <w:jc w:val="center"/>
            </w:pPr>
            <w:r>
              <w:rPr>
                <w:color w:val="E2E8F0"/>
                <w:sz w:val="24"/>
                <w:szCs w:val="24"/>
              </w:rPr>
              <w:t>A Structured Framework for Understanding, Improving,</w:t>
            </w:r>
          </w:p>
          <w:p w:rsidR="00221E8C" w:rsidRDefault="009B1883">
            <w:pPr>
              <w:spacing w:after="400"/>
              <w:jc w:val="center"/>
            </w:pPr>
            <w:r>
              <w:rPr>
                <w:color w:val="E2E8F0"/>
                <w:sz w:val="24"/>
                <w:szCs w:val="24"/>
              </w:rPr>
              <w:t>and Protecting Your Financial Position</w:t>
            </w:r>
          </w:p>
          <w:p w:rsidR="00221E8C" w:rsidRDefault="009B1883">
            <w:pPr>
              <w:spacing w:after="80"/>
              <w:jc w:val="center"/>
            </w:pPr>
            <w:r>
              <w:rPr>
                <w:b/>
                <w:bCs/>
                <w:color w:val="FFFFFF"/>
                <w:sz w:val="20"/>
                <w:szCs w:val="20"/>
              </w:rPr>
              <w:t>PREMIUM EDITION</w:t>
            </w:r>
          </w:p>
        </w:tc>
      </w:tr>
    </w:tbl>
    <w:p w:rsidR="00221E8C" w:rsidRDefault="00221E8C">
      <w:pPr>
        <w:spacing w:before="200" w:after="200"/>
      </w:pPr>
    </w:p>
    <w:p w:rsidR="00221E8C" w:rsidRDefault="009B1883">
      <w:pPr>
        <w:pStyle w:val="Heading1"/>
      </w:pPr>
      <w:r>
        <w:t>01  |  Introduction</w:t>
      </w:r>
    </w:p>
    <w:p w:rsidR="00221E8C" w:rsidRDefault="00221E8C">
      <w:pPr>
        <w:pBdr>
          <w:bottom w:val="single" w:sz="8" w:space="1" w:color="1A4A2E"/>
        </w:pBdr>
        <w:spacing w:after="240"/>
      </w:pPr>
    </w:p>
    <w:p w:rsidR="00221E8C" w:rsidRDefault="009B1883">
      <w:pPr>
        <w:spacing w:before="60" w:after="120"/>
      </w:pPr>
      <w:r>
        <w:rPr>
          <w:color w:val="2D3748"/>
        </w:rPr>
        <w:t>Financial position is not simply a matter of how much you earn. Two individuals with identical incomes can occupy fundamentally different financial positions depending on how their money is structured, how exposed they are to economic disruption, and how r</w:t>
      </w:r>
      <w:r>
        <w:rPr>
          <w:color w:val="2D3748"/>
        </w:rPr>
        <w:t>esilient their finances are under pressure.</w:t>
      </w:r>
    </w:p>
    <w:p w:rsidR="00221E8C" w:rsidRDefault="009B1883">
      <w:pPr>
        <w:spacing w:before="60" w:after="120"/>
      </w:pPr>
      <w:r>
        <w:rPr>
          <w:color w:val="2D3748"/>
        </w:rPr>
        <w:t>This guide is built on one premise: structure determines stability. Income without structure creates exposure. Structure without income creates pressure. The goal is to achieve alignment between the two, and then</w:t>
      </w:r>
      <w:r>
        <w:rPr>
          <w:color w:val="2D3748"/>
        </w:rPr>
        <w:t xml:space="preserve"> to protect that alignment over time.</w:t>
      </w:r>
    </w:p>
    <w:p w:rsidR="00221E8C" w:rsidRDefault="009B1883">
      <w:pPr>
        <w:spacing w:before="60" w:after="120"/>
      </w:pPr>
      <w:r>
        <w:rPr>
          <w:color w:val="2D3748"/>
        </w:rPr>
        <w:t>Today's economic environment demands more than earning. Inflation erodes purchasing power. Variable employment reduces certainty. Debt service competes with savings. Without a clear view of where you stand and what nee</w:t>
      </w:r>
      <w:r>
        <w:rPr>
          <w:color w:val="2D3748"/>
        </w:rPr>
        <w:t>ds to change, financial progress remains fragile regardless of income level.</w:t>
      </w:r>
    </w:p>
    <w:p w:rsidR="00221E8C" w:rsidRDefault="009B1883">
      <w:pPr>
        <w:spacing w:before="60" w:after="120"/>
      </w:pPr>
      <w:r>
        <w:rPr>
          <w:color w:val="2D3748"/>
        </w:rPr>
        <w:t>This document will:</w:t>
      </w:r>
    </w:p>
    <w:p w:rsidR="00221E8C" w:rsidRDefault="009B1883">
      <w:pPr>
        <w:pStyle w:val="ListParagraph"/>
        <w:numPr>
          <w:ilvl w:val="0"/>
          <w:numId w:val="2"/>
        </w:numPr>
        <w:spacing w:before="60" w:after="80"/>
      </w:pPr>
      <w:r>
        <w:rPr>
          <w:color w:val="2D3748"/>
        </w:rPr>
        <w:t>Define the four financial positions that exist in today's economy.</w:t>
      </w:r>
    </w:p>
    <w:p w:rsidR="00221E8C" w:rsidRDefault="009B1883">
      <w:pPr>
        <w:pStyle w:val="ListParagraph"/>
        <w:numPr>
          <w:ilvl w:val="0"/>
          <w:numId w:val="2"/>
        </w:numPr>
        <w:spacing w:before="60" w:after="80"/>
      </w:pPr>
      <w:r>
        <w:rPr>
          <w:color w:val="2D3748"/>
        </w:rPr>
        <w:t>Help you understand what your current position means in practical terms.</w:t>
      </w:r>
    </w:p>
    <w:p w:rsidR="00221E8C" w:rsidRDefault="009B1883">
      <w:pPr>
        <w:pStyle w:val="ListParagraph"/>
        <w:numPr>
          <w:ilvl w:val="0"/>
          <w:numId w:val="2"/>
        </w:numPr>
        <w:spacing w:before="60" w:after="80"/>
      </w:pPr>
      <w:r>
        <w:rPr>
          <w:color w:val="2D3748"/>
        </w:rPr>
        <w:t>Provide structured,</w:t>
      </w:r>
      <w:r>
        <w:rPr>
          <w:color w:val="2D3748"/>
        </w:rPr>
        <w:t xml:space="preserve"> actionable steps to move from your current position to the next.</w:t>
      </w:r>
    </w:p>
    <w:p w:rsidR="00221E8C" w:rsidRDefault="009B1883">
      <w:pPr>
        <w:pStyle w:val="ListParagraph"/>
        <w:numPr>
          <w:ilvl w:val="0"/>
          <w:numId w:val="2"/>
        </w:numPr>
        <w:spacing w:before="60" w:after="80"/>
      </w:pPr>
      <w:r>
        <w:rPr>
          <w:color w:val="2D3748"/>
        </w:rPr>
        <w:t>Show those in the strongest position how to protect and expand what they have built.</w:t>
      </w:r>
    </w:p>
    <w:p w:rsidR="00221E8C" w:rsidRDefault="00221E8C">
      <w:pPr>
        <w:spacing w:before="100" w:after="100"/>
      </w:pPr>
    </w:p>
    <w:p w:rsidR="00221E8C" w:rsidRDefault="009B1883">
      <w:pPr>
        <w:spacing w:before="60" w:after="120"/>
      </w:pPr>
      <w:r>
        <w:rPr>
          <w:color w:val="2D3748"/>
        </w:rPr>
        <w:t>Read this document as a working plan, not a passive read. Each section is designed to be applied.</w:t>
      </w:r>
    </w:p>
    <w:p w:rsidR="00221E8C" w:rsidRDefault="00221E8C">
      <w:pPr>
        <w:spacing w:before="120" w:after="120"/>
      </w:pPr>
    </w:p>
    <w:p w:rsidR="00221E8C" w:rsidRDefault="009B1883">
      <w:r>
        <w:br w:type="page"/>
      </w:r>
    </w:p>
    <w:p w:rsidR="00221E8C" w:rsidRDefault="009B1883">
      <w:pPr>
        <w:pStyle w:val="Heading1"/>
      </w:pPr>
      <w:r>
        <w:lastRenderedPageBreak/>
        <w:t xml:space="preserve">02 </w:t>
      </w:r>
      <w:r>
        <w:t xml:space="preserve"> |  The Four Financial Positions</w:t>
      </w:r>
    </w:p>
    <w:p w:rsidR="00221E8C" w:rsidRDefault="00221E8C">
      <w:pPr>
        <w:pBdr>
          <w:bottom w:val="single" w:sz="8" w:space="1" w:color="1A4A2E"/>
        </w:pBdr>
        <w:spacing w:after="240"/>
      </w:pPr>
    </w:p>
    <w:p w:rsidR="00221E8C" w:rsidRDefault="009B1883">
      <w:pPr>
        <w:spacing w:before="60" w:after="120"/>
      </w:pPr>
      <w:r>
        <w:rPr>
          <w:color w:val="2D3748"/>
        </w:rPr>
        <w:t>Financial positions exist on a spectrum. They are not defined by income alone, but by the relationship between income, expenses, obligations, buffers, and risk exposure. Each position has its own characteristics, vulnerabi</w:t>
      </w:r>
      <w:r>
        <w:rPr>
          <w:color w:val="2D3748"/>
        </w:rPr>
        <w:t>lities, and pathway forward.</w:t>
      </w:r>
    </w:p>
    <w:p w:rsidR="00221E8C" w:rsidRDefault="00221E8C">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221E8C">
        <w:tblPrEx>
          <w:tblCellMar>
            <w:top w:w="0" w:type="dxa"/>
            <w:bottom w:w="0" w:type="dxa"/>
          </w:tblCellMar>
        </w:tblPrEx>
        <w:tc>
          <w:tcPr>
            <w:tcW w:w="9360" w:type="dxa"/>
            <w:tcBorders>
              <w:top w:val="single" w:sz="1" w:space="0" w:color="E2E8F0"/>
              <w:left w:val="single" w:sz="1" w:space="0" w:color="E2E8F0"/>
              <w:bottom w:val="single" w:sz="1" w:space="0" w:color="E2E8F0"/>
              <w:right w:val="single" w:sz="1" w:space="0" w:color="E2E8F0"/>
            </w:tcBorders>
            <w:shd w:val="clear" w:color="auto" w:fill="FAF0F0"/>
            <w:tcMar>
              <w:top w:w="160" w:type="dxa"/>
              <w:left w:w="240" w:type="dxa"/>
              <w:bottom w:w="160" w:type="dxa"/>
              <w:right w:w="240" w:type="dxa"/>
            </w:tcMar>
          </w:tcPr>
          <w:p w:rsidR="00221E8C" w:rsidRDefault="009B1883">
            <w:pPr>
              <w:spacing w:before="40" w:after="80"/>
            </w:pPr>
            <w:r>
              <w:rPr>
                <w:b/>
                <w:bCs/>
                <w:color w:val="8B1A1A"/>
                <w:sz w:val="26"/>
                <w:szCs w:val="26"/>
              </w:rPr>
              <w:t>ECONOMICALLY EXPOSED</w:t>
            </w:r>
            <w:r>
              <w:rPr>
                <w:color w:val="718096"/>
              </w:rPr>
              <w:t xml:space="preserve">   |   </w:t>
            </w:r>
            <w:r>
              <w:rPr>
                <w:b/>
                <w:bCs/>
                <w:color w:val="4A5568"/>
              </w:rPr>
              <w:t>Position 01</w:t>
            </w:r>
          </w:p>
          <w:p w:rsidR="00221E8C" w:rsidRDefault="009B1883">
            <w:pPr>
              <w:spacing w:after="40"/>
            </w:pPr>
            <w:r>
              <w:rPr>
                <w:color w:val="4A5568"/>
                <w:sz w:val="21"/>
                <w:szCs w:val="21"/>
              </w:rPr>
              <w:t>Income is insufficient or unstable. Expenses meet or exceed earnings. No meaningful financial buffer exists. A single disruption, job loss, health event, or unexpected expense, could create a crisis.</w:t>
            </w:r>
          </w:p>
        </w:tc>
      </w:tr>
    </w:tbl>
    <w:p w:rsidR="00221E8C" w:rsidRDefault="00221E8C">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2CC" w:themeFill="accent4" w:themeFillTint="33"/>
        <w:tblCellMar>
          <w:left w:w="10" w:type="dxa"/>
          <w:right w:w="10" w:type="dxa"/>
        </w:tblCellMar>
        <w:tblLook w:val="0000" w:firstRow="0" w:lastRow="0" w:firstColumn="0" w:lastColumn="0" w:noHBand="0" w:noVBand="0"/>
      </w:tblPr>
      <w:tblGrid>
        <w:gridCol w:w="9360"/>
      </w:tblGrid>
      <w:tr w:rsidR="00221E8C" w:rsidTr="006847F9">
        <w:tblPrEx>
          <w:tblCellMar>
            <w:top w:w="0" w:type="dxa"/>
            <w:bottom w:w="0" w:type="dxa"/>
          </w:tblCellMar>
        </w:tblPrEx>
        <w:tc>
          <w:tcPr>
            <w:tcW w:w="9360" w:type="dxa"/>
            <w:tcBorders>
              <w:top w:val="single" w:sz="1" w:space="0" w:color="E2E8F0"/>
              <w:left w:val="single" w:sz="1" w:space="0" w:color="E2E8F0"/>
              <w:bottom w:val="single" w:sz="1" w:space="0" w:color="E2E8F0"/>
              <w:right w:val="single" w:sz="1" w:space="0" w:color="E2E8F0"/>
            </w:tcBorders>
            <w:shd w:val="clear" w:color="auto" w:fill="FFF2CC" w:themeFill="accent4" w:themeFillTint="33"/>
            <w:tcMar>
              <w:top w:w="160" w:type="dxa"/>
              <w:left w:w="240" w:type="dxa"/>
              <w:bottom w:w="160" w:type="dxa"/>
              <w:right w:w="240" w:type="dxa"/>
            </w:tcMar>
          </w:tcPr>
          <w:p w:rsidR="00221E8C" w:rsidRPr="006847F9" w:rsidRDefault="009B1883">
            <w:pPr>
              <w:spacing w:before="40" w:after="80"/>
              <w:rPr>
                <w:color w:val="BF8F00" w:themeColor="accent4" w:themeShade="BF"/>
              </w:rPr>
            </w:pPr>
            <w:r w:rsidRPr="006847F9">
              <w:rPr>
                <w:b/>
                <w:bCs/>
                <w:color w:val="BF8F00" w:themeColor="accent4" w:themeShade="BF"/>
                <w:sz w:val="26"/>
                <w:szCs w:val="26"/>
              </w:rPr>
              <w:t>ECONOMICALLY PRESSURED</w:t>
            </w:r>
            <w:r w:rsidRPr="006847F9">
              <w:rPr>
                <w:color w:val="BF8F00" w:themeColor="accent4" w:themeShade="BF"/>
              </w:rPr>
              <w:t xml:space="preserve">   |   </w:t>
            </w:r>
            <w:r w:rsidRPr="006847F9">
              <w:rPr>
                <w:b/>
                <w:bCs/>
                <w:color w:val="BF8F00" w:themeColor="accent4" w:themeShade="BF"/>
              </w:rPr>
              <w:t>Position 02</w:t>
            </w:r>
          </w:p>
          <w:p w:rsidR="00221E8C" w:rsidRDefault="009B1883">
            <w:pPr>
              <w:spacing w:after="40"/>
            </w:pPr>
            <w:r w:rsidRPr="006847F9">
              <w:rPr>
                <w:color w:val="BF8F00" w:themeColor="accent4" w:themeShade="BF"/>
                <w:sz w:val="21"/>
                <w:szCs w:val="21"/>
              </w:rPr>
              <w:t>Income covers basic obligations, but with little margin. Savings are minimal or absent. Debt may be present and competing with living expenses. The position is functional but fragile under stress.</w:t>
            </w:r>
          </w:p>
        </w:tc>
      </w:tr>
    </w:tbl>
    <w:p w:rsidR="00221E8C" w:rsidRDefault="00221E8C">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221E8C">
        <w:tblPrEx>
          <w:tblCellMar>
            <w:top w:w="0" w:type="dxa"/>
            <w:bottom w:w="0" w:type="dxa"/>
          </w:tblCellMar>
        </w:tblPrEx>
        <w:tc>
          <w:tcPr>
            <w:tcW w:w="9360" w:type="dxa"/>
            <w:tcBorders>
              <w:top w:val="single" w:sz="1" w:space="0" w:color="E2E8F0"/>
              <w:left w:val="single" w:sz="1" w:space="0" w:color="E2E8F0"/>
              <w:bottom w:val="single" w:sz="1" w:space="0" w:color="E2E8F0"/>
              <w:right w:val="single" w:sz="1" w:space="0" w:color="E2E8F0"/>
            </w:tcBorders>
            <w:shd w:val="clear" w:color="auto" w:fill="EBF4FA"/>
            <w:tcMar>
              <w:top w:w="160" w:type="dxa"/>
              <w:left w:w="240" w:type="dxa"/>
              <w:bottom w:w="160" w:type="dxa"/>
              <w:right w:w="240" w:type="dxa"/>
            </w:tcMar>
          </w:tcPr>
          <w:p w:rsidR="00221E8C" w:rsidRDefault="009B1883">
            <w:pPr>
              <w:spacing w:before="40" w:after="80"/>
            </w:pPr>
            <w:r>
              <w:rPr>
                <w:b/>
                <w:bCs/>
                <w:color w:val="1A4A6B"/>
                <w:sz w:val="26"/>
                <w:szCs w:val="26"/>
              </w:rPr>
              <w:t>ECONOMICALLY POSITIONED</w:t>
            </w:r>
            <w:r>
              <w:rPr>
                <w:color w:val="718096"/>
              </w:rPr>
              <w:t xml:space="preserve">   |   </w:t>
            </w:r>
            <w:r>
              <w:rPr>
                <w:b/>
                <w:bCs/>
                <w:color w:val="4A5568"/>
              </w:rPr>
              <w:t>Position 03</w:t>
            </w:r>
          </w:p>
          <w:p w:rsidR="00221E8C" w:rsidRDefault="009B1883">
            <w:pPr>
              <w:spacing w:after="40"/>
            </w:pPr>
            <w:r>
              <w:rPr>
                <w:color w:val="4A5568"/>
                <w:sz w:val="21"/>
                <w:szCs w:val="21"/>
              </w:rPr>
              <w:t>Income exceeds expenses with a moderate buffer in place. Some savings or investment activity exists. Risk is reduced but not eliminated. Growth is possible but not yet consistent.</w:t>
            </w:r>
          </w:p>
        </w:tc>
      </w:tr>
    </w:tbl>
    <w:p w:rsidR="00221E8C" w:rsidRDefault="00221E8C">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221E8C">
        <w:tblPrEx>
          <w:tblCellMar>
            <w:top w:w="0" w:type="dxa"/>
            <w:bottom w:w="0" w:type="dxa"/>
          </w:tblCellMar>
        </w:tblPrEx>
        <w:tc>
          <w:tcPr>
            <w:tcW w:w="9360" w:type="dxa"/>
            <w:tcBorders>
              <w:top w:val="single" w:sz="1" w:space="0" w:color="E2E8F0"/>
              <w:left w:val="single" w:sz="1" w:space="0" w:color="E2E8F0"/>
              <w:bottom w:val="single" w:sz="1" w:space="0" w:color="E2E8F0"/>
              <w:right w:val="single" w:sz="1" w:space="0" w:color="E2E8F0"/>
            </w:tcBorders>
            <w:shd w:val="clear" w:color="auto" w:fill="EBF7F0"/>
            <w:tcMar>
              <w:top w:w="160" w:type="dxa"/>
              <w:left w:w="240" w:type="dxa"/>
              <w:bottom w:w="160" w:type="dxa"/>
              <w:right w:w="240" w:type="dxa"/>
            </w:tcMar>
          </w:tcPr>
          <w:p w:rsidR="00221E8C" w:rsidRDefault="009B1883">
            <w:pPr>
              <w:spacing w:before="40" w:after="80"/>
            </w:pPr>
            <w:r>
              <w:rPr>
                <w:b/>
                <w:bCs/>
                <w:color w:val="1A5C3A"/>
                <w:sz w:val="26"/>
                <w:szCs w:val="26"/>
              </w:rPr>
              <w:t>ECONOMICALLY STABLE</w:t>
            </w:r>
            <w:r>
              <w:rPr>
                <w:color w:val="718096"/>
              </w:rPr>
              <w:t xml:space="preserve">   |   </w:t>
            </w:r>
            <w:r>
              <w:rPr>
                <w:b/>
                <w:bCs/>
                <w:color w:val="4A5568"/>
              </w:rPr>
              <w:t>Position 04</w:t>
            </w:r>
          </w:p>
          <w:p w:rsidR="00221E8C" w:rsidRDefault="009B1883">
            <w:pPr>
              <w:spacing w:after="40"/>
            </w:pPr>
            <w:r>
              <w:rPr>
                <w:color w:val="4A5568"/>
                <w:sz w:val="21"/>
                <w:szCs w:val="21"/>
              </w:rPr>
              <w:t>Income is reliable and diversified. Expenses are structured and controlled. Financial buffers are established. Wealth-building activity is in motion. Risk is actively managed.</w:t>
            </w:r>
          </w:p>
        </w:tc>
      </w:tr>
    </w:tbl>
    <w:p w:rsidR="00221E8C" w:rsidRDefault="00221E8C">
      <w:pPr>
        <w:spacing w:before="120" w:after="120"/>
      </w:pPr>
    </w:p>
    <w:p w:rsidR="00221E8C" w:rsidRDefault="009B1883">
      <w:r>
        <w:br w:type="page"/>
      </w:r>
    </w:p>
    <w:p w:rsidR="00221E8C" w:rsidRDefault="009B1883">
      <w:pPr>
        <w:pStyle w:val="Heading1"/>
      </w:pPr>
      <w:r>
        <w:lastRenderedPageBreak/>
        <w:t>03  |  Understanding Your Position</w:t>
      </w:r>
    </w:p>
    <w:p w:rsidR="00221E8C" w:rsidRDefault="00221E8C">
      <w:pPr>
        <w:pBdr>
          <w:bottom w:val="single" w:sz="8" w:space="1" w:color="1A4A2E"/>
        </w:pBdr>
        <w:spacing w:after="240"/>
      </w:pPr>
    </w:p>
    <w:p w:rsidR="00221E8C" w:rsidRDefault="009B1883">
      <w:pPr>
        <w:spacing w:before="60" w:after="120"/>
      </w:pPr>
      <w:r>
        <w:rPr>
          <w:color w:val="2D3748"/>
        </w:rPr>
        <w:t>Each financial position carries distinct characteristics. Understanding what is working and what is at risk gives you the clarity needed to act with precision.</w:t>
      </w:r>
    </w:p>
    <w:p w:rsidR="00221E8C" w:rsidRDefault="00221E8C">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160"/>
      </w:tblGrid>
      <w:tr w:rsidR="00221E8C">
        <w:tblPrEx>
          <w:tblCellMar>
            <w:top w:w="0" w:type="dxa"/>
            <w:bottom w:w="0" w:type="dxa"/>
          </w:tblCellMar>
        </w:tblPrEx>
        <w:tc>
          <w:tcPr>
            <w:tcW w:w="9360" w:type="dxa"/>
            <w:gridSpan w:val="2"/>
            <w:tcBorders>
              <w:top w:val="single" w:sz="1" w:space="0" w:color="E2E8F0"/>
              <w:left w:val="single" w:sz="1" w:space="0" w:color="E2E8F0"/>
              <w:bottom w:val="single" w:sz="1" w:space="0" w:color="E2E8F0"/>
              <w:right w:val="single" w:sz="1" w:space="0" w:color="E2E8F0"/>
            </w:tcBorders>
            <w:shd w:val="clear" w:color="auto" w:fill="8B1A1A"/>
            <w:tcMar>
              <w:top w:w="120" w:type="dxa"/>
              <w:left w:w="200" w:type="dxa"/>
              <w:bottom w:w="120" w:type="dxa"/>
              <w:right w:w="200" w:type="dxa"/>
            </w:tcMar>
          </w:tcPr>
          <w:p w:rsidR="00221E8C" w:rsidRDefault="009B1883">
            <w:r>
              <w:rPr>
                <w:b/>
                <w:bCs/>
                <w:color w:val="FFFFFF"/>
                <w:sz w:val="24"/>
                <w:szCs w:val="24"/>
              </w:rPr>
              <w:t>ECONOMICALLY EXPOSED</w:t>
            </w:r>
          </w:p>
        </w:tc>
      </w:tr>
      <w:tr w:rsidR="00221E8C">
        <w:tblPrEx>
          <w:tblCellMar>
            <w:top w:w="0" w:type="dxa"/>
            <w:bottom w:w="0" w:type="dxa"/>
          </w:tblCellMar>
        </w:tblPrEx>
        <w:tc>
          <w:tcPr>
            <w:tcW w:w="2200" w:type="dxa"/>
            <w:tcBorders>
              <w:top w:val="single" w:sz="1" w:space="0" w:color="E2E8F0"/>
              <w:left w:val="single" w:sz="1" w:space="0" w:color="E2E8F0"/>
              <w:bottom w:val="single" w:sz="1" w:space="0" w:color="E2E8F0"/>
              <w:right w:val="single" w:sz="1" w:space="0" w:color="E2E8F0"/>
            </w:tcBorders>
            <w:shd w:val="clear" w:color="auto" w:fill="FAF0F0"/>
            <w:tcMar>
              <w:top w:w="120" w:type="dxa"/>
              <w:left w:w="200" w:type="dxa"/>
              <w:bottom w:w="120" w:type="dxa"/>
              <w:right w:w="160" w:type="dxa"/>
            </w:tcMar>
          </w:tcPr>
          <w:p w:rsidR="00221E8C" w:rsidRDefault="009B1883">
            <w:r>
              <w:rPr>
                <w:b/>
                <w:bCs/>
                <w:color w:val="4A5568"/>
                <w:sz w:val="20"/>
                <w:szCs w:val="20"/>
              </w:rPr>
              <w:t>What It Means</w:t>
            </w:r>
          </w:p>
        </w:tc>
        <w:tc>
          <w:tcPr>
            <w:tcW w:w="7160" w:type="dxa"/>
            <w:tcBorders>
              <w:top w:val="single" w:sz="1" w:space="0" w:color="E2E8F0"/>
              <w:left w:val="single" w:sz="1" w:space="0" w:color="E2E8F0"/>
              <w:bottom w:val="single" w:sz="1" w:space="0" w:color="E2E8F0"/>
              <w:right w:val="single" w:sz="1" w:space="0" w:color="E2E8F0"/>
            </w:tcBorders>
            <w:shd w:val="clear" w:color="auto" w:fill="FFFFFF"/>
            <w:tcMar>
              <w:top w:w="120" w:type="dxa"/>
              <w:left w:w="200" w:type="dxa"/>
              <w:bottom w:w="120" w:type="dxa"/>
              <w:right w:w="200" w:type="dxa"/>
            </w:tcMar>
          </w:tcPr>
          <w:p w:rsidR="00221E8C" w:rsidRDefault="009B1883">
            <w:pPr>
              <w:spacing w:before="40" w:after="40"/>
            </w:pPr>
            <w:r>
              <w:rPr>
                <w:color w:val="2D3748"/>
                <w:sz w:val="21"/>
                <w:szCs w:val="21"/>
              </w:rPr>
              <w:t>–  Your income does not consistently cover your expenses.</w:t>
            </w:r>
          </w:p>
          <w:p w:rsidR="00221E8C" w:rsidRDefault="009B1883">
            <w:pPr>
              <w:spacing w:before="40" w:after="40"/>
            </w:pPr>
            <w:r>
              <w:rPr>
                <w:color w:val="2D3748"/>
                <w:sz w:val="21"/>
                <w:szCs w:val="21"/>
              </w:rPr>
              <w:t>–  Financial decisions are reactive rather than planned.</w:t>
            </w:r>
          </w:p>
          <w:p w:rsidR="00221E8C" w:rsidRDefault="009B1883">
            <w:pPr>
              <w:spacing w:before="40" w:after="40"/>
            </w:pPr>
            <w:r>
              <w:rPr>
                <w:color w:val="2D3748"/>
                <w:sz w:val="21"/>
                <w:szCs w:val="21"/>
              </w:rPr>
              <w:t>–  You are vulnerable to immediate disruptions with limited capacity to absorb them.</w:t>
            </w:r>
          </w:p>
        </w:tc>
      </w:tr>
      <w:tr w:rsidR="00221E8C">
        <w:tblPrEx>
          <w:tblCellMar>
            <w:top w:w="0" w:type="dxa"/>
            <w:bottom w:w="0" w:type="dxa"/>
          </w:tblCellMar>
        </w:tblPrEx>
        <w:tc>
          <w:tcPr>
            <w:tcW w:w="2200" w:type="dxa"/>
            <w:tcBorders>
              <w:top w:val="single" w:sz="1" w:space="0" w:color="E2E8F0"/>
              <w:left w:val="single" w:sz="1" w:space="0" w:color="E2E8F0"/>
              <w:bottom w:val="single" w:sz="1" w:space="0" w:color="E2E8F0"/>
              <w:right w:val="single" w:sz="1" w:space="0" w:color="E2E8F0"/>
            </w:tcBorders>
            <w:shd w:val="clear" w:color="auto" w:fill="FAF0F0"/>
            <w:tcMar>
              <w:top w:w="120" w:type="dxa"/>
              <w:left w:w="200" w:type="dxa"/>
              <w:bottom w:w="120" w:type="dxa"/>
              <w:right w:w="160" w:type="dxa"/>
            </w:tcMar>
          </w:tcPr>
          <w:p w:rsidR="00221E8C" w:rsidRDefault="009B1883">
            <w:r>
              <w:rPr>
                <w:b/>
                <w:bCs/>
                <w:color w:val="1E6B4A"/>
                <w:sz w:val="20"/>
                <w:szCs w:val="20"/>
              </w:rPr>
              <w:t>What Is Working</w:t>
            </w:r>
          </w:p>
        </w:tc>
        <w:tc>
          <w:tcPr>
            <w:tcW w:w="7160" w:type="dxa"/>
            <w:tcBorders>
              <w:top w:val="single" w:sz="1" w:space="0" w:color="E2E8F0"/>
              <w:left w:val="single" w:sz="1" w:space="0" w:color="E2E8F0"/>
              <w:bottom w:val="single" w:sz="1" w:space="0" w:color="E2E8F0"/>
              <w:right w:val="single" w:sz="1" w:space="0" w:color="E2E8F0"/>
            </w:tcBorders>
            <w:shd w:val="clear" w:color="auto" w:fill="FFFFFF"/>
            <w:tcMar>
              <w:top w:w="120" w:type="dxa"/>
              <w:left w:w="200" w:type="dxa"/>
              <w:bottom w:w="120" w:type="dxa"/>
              <w:right w:w="200" w:type="dxa"/>
            </w:tcMar>
          </w:tcPr>
          <w:p w:rsidR="00221E8C" w:rsidRDefault="009B1883">
            <w:pPr>
              <w:spacing w:before="40" w:after="40"/>
            </w:pPr>
            <w:r>
              <w:rPr>
                <w:color w:val="2D3748"/>
                <w:sz w:val="21"/>
                <w:szCs w:val="21"/>
              </w:rPr>
              <w:t>–  You are aware that a change is necessary, which is the foundation of any progress.</w:t>
            </w:r>
          </w:p>
          <w:p w:rsidR="00221E8C" w:rsidRDefault="009B1883">
            <w:pPr>
              <w:spacing w:before="40" w:after="40"/>
            </w:pPr>
            <w:r>
              <w:rPr>
                <w:color w:val="2D3748"/>
                <w:sz w:val="21"/>
                <w:szCs w:val="21"/>
              </w:rPr>
              <w:t>–  Basic income exists, even if insufficient.</w:t>
            </w:r>
          </w:p>
          <w:p w:rsidR="00221E8C" w:rsidRDefault="009B1883">
            <w:pPr>
              <w:spacing w:before="40" w:after="40"/>
            </w:pPr>
            <w:r>
              <w:rPr>
                <w:color w:val="2D3748"/>
                <w:sz w:val="21"/>
                <w:szCs w:val="21"/>
              </w:rPr>
              <w:t>–  Fixed obligations may still be manageable if restructured.</w:t>
            </w:r>
          </w:p>
        </w:tc>
      </w:tr>
      <w:tr w:rsidR="00221E8C">
        <w:tblPrEx>
          <w:tblCellMar>
            <w:top w:w="0" w:type="dxa"/>
            <w:bottom w:w="0" w:type="dxa"/>
          </w:tblCellMar>
        </w:tblPrEx>
        <w:tc>
          <w:tcPr>
            <w:tcW w:w="2200" w:type="dxa"/>
            <w:tcBorders>
              <w:top w:val="single" w:sz="1" w:space="0" w:color="E2E8F0"/>
              <w:left w:val="single" w:sz="1" w:space="0" w:color="E2E8F0"/>
              <w:bottom w:val="single" w:sz="1" w:space="0" w:color="E2E8F0"/>
              <w:right w:val="single" w:sz="1" w:space="0" w:color="E2E8F0"/>
            </w:tcBorders>
            <w:shd w:val="clear" w:color="auto" w:fill="FAF0F0"/>
            <w:tcMar>
              <w:top w:w="120" w:type="dxa"/>
              <w:left w:w="200" w:type="dxa"/>
              <w:bottom w:w="120" w:type="dxa"/>
              <w:right w:w="160" w:type="dxa"/>
            </w:tcMar>
          </w:tcPr>
          <w:p w:rsidR="00221E8C" w:rsidRDefault="009B1883">
            <w:r>
              <w:rPr>
                <w:b/>
                <w:bCs/>
                <w:color w:val="C0392B"/>
                <w:sz w:val="20"/>
                <w:szCs w:val="20"/>
              </w:rPr>
              <w:t>What Is Fragile</w:t>
            </w:r>
          </w:p>
        </w:tc>
        <w:tc>
          <w:tcPr>
            <w:tcW w:w="7160" w:type="dxa"/>
            <w:tcBorders>
              <w:top w:val="single" w:sz="1" w:space="0" w:color="E2E8F0"/>
              <w:left w:val="single" w:sz="1" w:space="0" w:color="E2E8F0"/>
              <w:bottom w:val="single" w:sz="1" w:space="0" w:color="E2E8F0"/>
              <w:right w:val="single" w:sz="1" w:space="0" w:color="E2E8F0"/>
            </w:tcBorders>
            <w:shd w:val="clear" w:color="auto" w:fill="FFFFFF"/>
            <w:tcMar>
              <w:top w:w="120" w:type="dxa"/>
              <w:left w:w="200" w:type="dxa"/>
              <w:bottom w:w="120" w:type="dxa"/>
              <w:right w:w="200" w:type="dxa"/>
            </w:tcMar>
          </w:tcPr>
          <w:p w:rsidR="00221E8C" w:rsidRDefault="009B1883">
            <w:pPr>
              <w:spacing w:before="40" w:after="40"/>
            </w:pPr>
            <w:r>
              <w:rPr>
                <w:color w:val="2D3748"/>
                <w:sz w:val="21"/>
                <w:szCs w:val="21"/>
              </w:rPr>
              <w:t>–  Zero or near-zero financial buffer leaves no room for error.</w:t>
            </w:r>
          </w:p>
          <w:p w:rsidR="00221E8C" w:rsidRDefault="009B1883">
            <w:pPr>
              <w:spacing w:before="40" w:after="40"/>
            </w:pPr>
            <w:r>
              <w:rPr>
                <w:color w:val="2D3748"/>
                <w:sz w:val="21"/>
                <w:szCs w:val="21"/>
              </w:rPr>
              <w:t>–  Absence of savings means any unexpected expense creates debt.</w:t>
            </w:r>
          </w:p>
          <w:p w:rsidR="00221E8C" w:rsidRDefault="009B1883">
            <w:pPr>
              <w:spacing w:before="40" w:after="40"/>
            </w:pPr>
            <w:r>
              <w:rPr>
                <w:color w:val="2D3748"/>
                <w:sz w:val="21"/>
                <w:szCs w:val="21"/>
              </w:rPr>
              <w:t xml:space="preserve">– </w:t>
            </w:r>
            <w:r>
              <w:rPr>
                <w:color w:val="2D3748"/>
                <w:sz w:val="21"/>
                <w:szCs w:val="21"/>
              </w:rPr>
              <w:t xml:space="preserve"> Income instability makes planning nearly impossible without structural change.</w:t>
            </w:r>
          </w:p>
        </w:tc>
      </w:tr>
    </w:tbl>
    <w:p w:rsidR="00221E8C" w:rsidRDefault="00221E8C">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160"/>
      </w:tblGrid>
      <w:tr w:rsidR="00221E8C" w:rsidTr="006847F9">
        <w:tblPrEx>
          <w:tblCellMar>
            <w:top w:w="0" w:type="dxa"/>
            <w:bottom w:w="0" w:type="dxa"/>
          </w:tblCellMar>
        </w:tblPrEx>
        <w:trPr>
          <w:trHeight w:val="91"/>
        </w:trPr>
        <w:tc>
          <w:tcPr>
            <w:tcW w:w="9360" w:type="dxa"/>
            <w:gridSpan w:val="2"/>
            <w:tcBorders>
              <w:top w:val="single" w:sz="1" w:space="0" w:color="E2E8F0"/>
              <w:left w:val="single" w:sz="1" w:space="0" w:color="E2E8F0"/>
              <w:bottom w:val="single" w:sz="1" w:space="0" w:color="E2E8F0"/>
              <w:right w:val="single" w:sz="1" w:space="0" w:color="E2E8F0"/>
            </w:tcBorders>
            <w:shd w:val="clear" w:color="auto" w:fill="BF8F00" w:themeFill="accent4" w:themeFillShade="BF"/>
            <w:tcMar>
              <w:top w:w="120" w:type="dxa"/>
              <w:left w:w="200" w:type="dxa"/>
              <w:bottom w:w="120" w:type="dxa"/>
              <w:right w:w="200" w:type="dxa"/>
            </w:tcMar>
          </w:tcPr>
          <w:p w:rsidR="00221E8C" w:rsidRDefault="009B1883">
            <w:r>
              <w:rPr>
                <w:b/>
                <w:bCs/>
                <w:color w:val="FFFFFF"/>
                <w:sz w:val="24"/>
                <w:szCs w:val="24"/>
              </w:rPr>
              <w:t>ECONOMICALLY PRESSURED</w:t>
            </w:r>
          </w:p>
        </w:tc>
      </w:tr>
      <w:tr w:rsidR="00221E8C" w:rsidTr="006847F9">
        <w:tblPrEx>
          <w:tblCellMar>
            <w:top w:w="0" w:type="dxa"/>
            <w:bottom w:w="0" w:type="dxa"/>
          </w:tblCellMar>
        </w:tblPrEx>
        <w:tc>
          <w:tcPr>
            <w:tcW w:w="2200" w:type="dxa"/>
            <w:tcBorders>
              <w:top w:val="single" w:sz="1" w:space="0" w:color="E2E8F0"/>
              <w:left w:val="single" w:sz="1" w:space="0" w:color="E2E8F0"/>
              <w:bottom w:val="single" w:sz="1" w:space="0" w:color="E2E8F0"/>
              <w:right w:val="single" w:sz="1" w:space="0" w:color="E2E8F0"/>
            </w:tcBorders>
            <w:shd w:val="clear" w:color="auto" w:fill="FFF2CC" w:themeFill="accent4" w:themeFillTint="33"/>
            <w:tcMar>
              <w:top w:w="120" w:type="dxa"/>
              <w:left w:w="200" w:type="dxa"/>
              <w:bottom w:w="120" w:type="dxa"/>
              <w:right w:w="160" w:type="dxa"/>
            </w:tcMar>
          </w:tcPr>
          <w:p w:rsidR="00221E8C" w:rsidRDefault="009B1883">
            <w:r>
              <w:rPr>
                <w:b/>
                <w:bCs/>
                <w:color w:val="4A5568"/>
                <w:sz w:val="20"/>
                <w:szCs w:val="20"/>
              </w:rPr>
              <w:t>What It Means</w:t>
            </w:r>
          </w:p>
        </w:tc>
        <w:tc>
          <w:tcPr>
            <w:tcW w:w="7160" w:type="dxa"/>
            <w:tcBorders>
              <w:top w:val="single" w:sz="1" w:space="0" w:color="E2E8F0"/>
              <w:left w:val="single" w:sz="1" w:space="0" w:color="E2E8F0"/>
              <w:bottom w:val="single" w:sz="1" w:space="0" w:color="E2E8F0"/>
              <w:right w:val="single" w:sz="1" w:space="0" w:color="E2E8F0"/>
            </w:tcBorders>
            <w:shd w:val="clear" w:color="auto" w:fill="FFFFFF"/>
            <w:tcMar>
              <w:top w:w="120" w:type="dxa"/>
              <w:left w:w="200" w:type="dxa"/>
              <w:bottom w:w="120" w:type="dxa"/>
              <w:right w:w="200" w:type="dxa"/>
            </w:tcMar>
          </w:tcPr>
          <w:p w:rsidR="00221E8C" w:rsidRDefault="009B1883">
            <w:pPr>
              <w:spacing w:before="40" w:after="40"/>
            </w:pPr>
            <w:r>
              <w:rPr>
                <w:color w:val="2D3748"/>
                <w:sz w:val="21"/>
                <w:szCs w:val="21"/>
              </w:rPr>
              <w:t>–  Your income covers your obligations, but leaves almost no surplus.</w:t>
            </w:r>
          </w:p>
          <w:p w:rsidR="00221E8C" w:rsidRDefault="009B1883">
            <w:pPr>
              <w:spacing w:before="40" w:after="40"/>
            </w:pPr>
            <w:r>
              <w:rPr>
                <w:color w:val="2D3748"/>
                <w:sz w:val="21"/>
                <w:szCs w:val="21"/>
              </w:rPr>
              <w:t>–  You are functional month to month, but one significant disruption could change that.</w:t>
            </w:r>
          </w:p>
          <w:p w:rsidR="00221E8C" w:rsidRDefault="009B1883">
            <w:pPr>
              <w:spacing w:before="40" w:after="40"/>
            </w:pPr>
            <w:r>
              <w:rPr>
                <w:color w:val="2D3748"/>
                <w:sz w:val="21"/>
                <w:szCs w:val="21"/>
              </w:rPr>
              <w:t>–  Savings are minimal and growing them feels difficult.</w:t>
            </w:r>
          </w:p>
        </w:tc>
      </w:tr>
      <w:tr w:rsidR="00221E8C" w:rsidTr="006847F9">
        <w:tblPrEx>
          <w:tblCellMar>
            <w:top w:w="0" w:type="dxa"/>
            <w:bottom w:w="0" w:type="dxa"/>
          </w:tblCellMar>
        </w:tblPrEx>
        <w:tc>
          <w:tcPr>
            <w:tcW w:w="2200" w:type="dxa"/>
            <w:tcBorders>
              <w:top w:val="single" w:sz="1" w:space="0" w:color="E2E8F0"/>
              <w:left w:val="single" w:sz="1" w:space="0" w:color="E2E8F0"/>
              <w:bottom w:val="single" w:sz="1" w:space="0" w:color="E2E8F0"/>
              <w:right w:val="single" w:sz="1" w:space="0" w:color="E2E8F0"/>
            </w:tcBorders>
            <w:shd w:val="clear" w:color="auto" w:fill="FFF2CC" w:themeFill="accent4" w:themeFillTint="33"/>
            <w:tcMar>
              <w:top w:w="120" w:type="dxa"/>
              <w:left w:w="200" w:type="dxa"/>
              <w:bottom w:w="120" w:type="dxa"/>
              <w:right w:w="160" w:type="dxa"/>
            </w:tcMar>
          </w:tcPr>
          <w:p w:rsidR="00221E8C" w:rsidRDefault="009B1883">
            <w:r>
              <w:rPr>
                <w:b/>
                <w:bCs/>
                <w:color w:val="1E6B4A"/>
                <w:sz w:val="20"/>
                <w:szCs w:val="20"/>
              </w:rPr>
              <w:t>What Is Working</w:t>
            </w:r>
          </w:p>
        </w:tc>
        <w:tc>
          <w:tcPr>
            <w:tcW w:w="7160" w:type="dxa"/>
            <w:tcBorders>
              <w:top w:val="single" w:sz="1" w:space="0" w:color="E2E8F0"/>
              <w:left w:val="single" w:sz="1" w:space="0" w:color="E2E8F0"/>
              <w:bottom w:val="single" w:sz="1" w:space="0" w:color="E2E8F0"/>
              <w:right w:val="single" w:sz="1" w:space="0" w:color="E2E8F0"/>
            </w:tcBorders>
            <w:shd w:val="clear" w:color="auto" w:fill="FFFFFF"/>
            <w:tcMar>
              <w:top w:w="120" w:type="dxa"/>
              <w:left w:w="200" w:type="dxa"/>
              <w:bottom w:w="120" w:type="dxa"/>
              <w:right w:w="200" w:type="dxa"/>
            </w:tcMar>
          </w:tcPr>
          <w:p w:rsidR="00221E8C" w:rsidRDefault="009B1883">
            <w:pPr>
              <w:spacing w:before="40" w:after="40"/>
            </w:pPr>
            <w:r>
              <w:rPr>
                <w:color w:val="2D3748"/>
                <w:sz w:val="21"/>
                <w:szCs w:val="21"/>
              </w:rPr>
              <w:t>–  Obligations are being met, which means financial relationships remain intact.</w:t>
            </w:r>
          </w:p>
          <w:p w:rsidR="00221E8C" w:rsidRDefault="009B1883">
            <w:pPr>
              <w:spacing w:before="40" w:after="40"/>
            </w:pPr>
            <w:r>
              <w:rPr>
                <w:color w:val="2D3748"/>
                <w:sz w:val="21"/>
                <w:szCs w:val="21"/>
              </w:rPr>
              <w:t>–  Income is present and relatively consistent.</w:t>
            </w:r>
          </w:p>
          <w:p w:rsidR="00221E8C" w:rsidRDefault="009B1883">
            <w:pPr>
              <w:spacing w:before="40" w:after="40"/>
            </w:pPr>
            <w:r>
              <w:rPr>
                <w:color w:val="2D3748"/>
                <w:sz w:val="21"/>
                <w:szCs w:val="21"/>
              </w:rPr>
              <w:t>–  You have operational awareness of your expenses.</w:t>
            </w:r>
          </w:p>
        </w:tc>
      </w:tr>
      <w:tr w:rsidR="00221E8C" w:rsidTr="006847F9">
        <w:tblPrEx>
          <w:tblCellMar>
            <w:top w:w="0" w:type="dxa"/>
            <w:bottom w:w="0" w:type="dxa"/>
          </w:tblCellMar>
        </w:tblPrEx>
        <w:tc>
          <w:tcPr>
            <w:tcW w:w="2200" w:type="dxa"/>
            <w:tcBorders>
              <w:top w:val="single" w:sz="1" w:space="0" w:color="E2E8F0"/>
              <w:left w:val="single" w:sz="1" w:space="0" w:color="E2E8F0"/>
              <w:bottom w:val="single" w:sz="1" w:space="0" w:color="E2E8F0"/>
              <w:right w:val="single" w:sz="1" w:space="0" w:color="E2E8F0"/>
            </w:tcBorders>
            <w:shd w:val="clear" w:color="auto" w:fill="FFF2CC" w:themeFill="accent4" w:themeFillTint="33"/>
            <w:tcMar>
              <w:top w:w="120" w:type="dxa"/>
              <w:left w:w="200" w:type="dxa"/>
              <w:bottom w:w="120" w:type="dxa"/>
              <w:right w:w="160" w:type="dxa"/>
            </w:tcMar>
          </w:tcPr>
          <w:p w:rsidR="00221E8C" w:rsidRDefault="009B1883">
            <w:r>
              <w:rPr>
                <w:b/>
                <w:bCs/>
                <w:color w:val="C0392B"/>
                <w:sz w:val="20"/>
                <w:szCs w:val="20"/>
              </w:rPr>
              <w:t>What Is Fragile</w:t>
            </w:r>
          </w:p>
        </w:tc>
        <w:tc>
          <w:tcPr>
            <w:tcW w:w="7160" w:type="dxa"/>
            <w:tcBorders>
              <w:top w:val="single" w:sz="1" w:space="0" w:color="E2E8F0"/>
              <w:left w:val="single" w:sz="1" w:space="0" w:color="E2E8F0"/>
              <w:bottom w:val="single" w:sz="1" w:space="0" w:color="E2E8F0"/>
              <w:right w:val="single" w:sz="1" w:space="0" w:color="E2E8F0"/>
            </w:tcBorders>
            <w:shd w:val="clear" w:color="auto" w:fill="FFFFFF"/>
            <w:tcMar>
              <w:top w:w="120" w:type="dxa"/>
              <w:left w:w="200" w:type="dxa"/>
              <w:bottom w:w="120" w:type="dxa"/>
              <w:right w:w="200" w:type="dxa"/>
            </w:tcMar>
          </w:tcPr>
          <w:p w:rsidR="00221E8C" w:rsidRDefault="009B1883">
            <w:pPr>
              <w:spacing w:before="40" w:after="40"/>
            </w:pPr>
            <w:r>
              <w:rPr>
                <w:color w:val="2D3748"/>
                <w:sz w:val="21"/>
                <w:szCs w:val="21"/>
              </w:rPr>
              <w:t>–  Thin margins mean there is no room for income reduction.</w:t>
            </w:r>
          </w:p>
          <w:p w:rsidR="00221E8C" w:rsidRDefault="009B1883">
            <w:pPr>
              <w:spacing w:before="40" w:after="40"/>
            </w:pPr>
            <w:r>
              <w:rPr>
                <w:color w:val="2D3748"/>
                <w:sz w:val="21"/>
                <w:szCs w:val="21"/>
              </w:rPr>
              <w:t>–  Debt repayment may be consuming surplus that should build savings.</w:t>
            </w:r>
          </w:p>
          <w:p w:rsidR="00221E8C" w:rsidRDefault="009B1883">
            <w:pPr>
              <w:spacing w:before="40" w:after="40"/>
            </w:pPr>
            <w:r>
              <w:rPr>
                <w:color w:val="2D3748"/>
                <w:sz w:val="21"/>
                <w:szCs w:val="21"/>
              </w:rPr>
              <w:t>–  Withou</w:t>
            </w:r>
            <w:r>
              <w:rPr>
                <w:color w:val="2D3748"/>
                <w:sz w:val="21"/>
                <w:szCs w:val="21"/>
              </w:rPr>
              <w:t>t a buffer, medical costs, car repairs, or job disruption become immediate financial threats.</w:t>
            </w:r>
          </w:p>
        </w:tc>
      </w:tr>
    </w:tbl>
    <w:p w:rsidR="00221E8C" w:rsidRDefault="00221E8C">
      <w:pPr>
        <w:spacing w:before="80" w:after="80"/>
      </w:pPr>
    </w:p>
    <w:p w:rsidR="006847F9" w:rsidRDefault="006847F9">
      <w:pPr>
        <w:spacing w:before="80" w:after="80"/>
      </w:pPr>
    </w:p>
    <w:p w:rsidR="006847F9" w:rsidRDefault="006847F9">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160"/>
      </w:tblGrid>
      <w:tr w:rsidR="00221E8C">
        <w:tblPrEx>
          <w:tblCellMar>
            <w:top w:w="0" w:type="dxa"/>
            <w:bottom w:w="0" w:type="dxa"/>
          </w:tblCellMar>
        </w:tblPrEx>
        <w:tc>
          <w:tcPr>
            <w:tcW w:w="9360" w:type="dxa"/>
            <w:gridSpan w:val="2"/>
            <w:tcBorders>
              <w:top w:val="single" w:sz="1" w:space="0" w:color="E2E8F0"/>
              <w:left w:val="single" w:sz="1" w:space="0" w:color="E2E8F0"/>
              <w:bottom w:val="single" w:sz="1" w:space="0" w:color="E2E8F0"/>
              <w:right w:val="single" w:sz="1" w:space="0" w:color="E2E8F0"/>
            </w:tcBorders>
            <w:shd w:val="clear" w:color="auto" w:fill="1A4A6B"/>
            <w:tcMar>
              <w:top w:w="120" w:type="dxa"/>
              <w:left w:w="200" w:type="dxa"/>
              <w:bottom w:w="120" w:type="dxa"/>
              <w:right w:w="200" w:type="dxa"/>
            </w:tcMar>
          </w:tcPr>
          <w:p w:rsidR="00221E8C" w:rsidRDefault="009B1883">
            <w:r>
              <w:rPr>
                <w:b/>
                <w:bCs/>
                <w:color w:val="FFFFFF"/>
                <w:sz w:val="24"/>
                <w:szCs w:val="24"/>
              </w:rPr>
              <w:lastRenderedPageBreak/>
              <w:t>ECONOMICALLY POSITIONED</w:t>
            </w:r>
          </w:p>
        </w:tc>
      </w:tr>
      <w:tr w:rsidR="00221E8C">
        <w:tblPrEx>
          <w:tblCellMar>
            <w:top w:w="0" w:type="dxa"/>
            <w:bottom w:w="0" w:type="dxa"/>
          </w:tblCellMar>
        </w:tblPrEx>
        <w:tc>
          <w:tcPr>
            <w:tcW w:w="2200" w:type="dxa"/>
            <w:tcBorders>
              <w:top w:val="single" w:sz="1" w:space="0" w:color="E2E8F0"/>
              <w:left w:val="single" w:sz="1" w:space="0" w:color="E2E8F0"/>
              <w:bottom w:val="single" w:sz="1" w:space="0" w:color="E2E8F0"/>
              <w:right w:val="single" w:sz="1" w:space="0" w:color="E2E8F0"/>
            </w:tcBorders>
            <w:shd w:val="clear" w:color="auto" w:fill="EBF4FA"/>
            <w:tcMar>
              <w:top w:w="120" w:type="dxa"/>
              <w:left w:w="200" w:type="dxa"/>
              <w:bottom w:w="120" w:type="dxa"/>
              <w:right w:w="160" w:type="dxa"/>
            </w:tcMar>
          </w:tcPr>
          <w:p w:rsidR="00221E8C" w:rsidRDefault="009B1883">
            <w:r>
              <w:rPr>
                <w:b/>
                <w:bCs/>
                <w:color w:val="4A5568"/>
                <w:sz w:val="20"/>
                <w:szCs w:val="20"/>
              </w:rPr>
              <w:t>What It Means</w:t>
            </w:r>
          </w:p>
        </w:tc>
        <w:tc>
          <w:tcPr>
            <w:tcW w:w="7160" w:type="dxa"/>
            <w:tcBorders>
              <w:top w:val="single" w:sz="1" w:space="0" w:color="E2E8F0"/>
              <w:left w:val="single" w:sz="1" w:space="0" w:color="E2E8F0"/>
              <w:bottom w:val="single" w:sz="1" w:space="0" w:color="E2E8F0"/>
              <w:right w:val="single" w:sz="1" w:space="0" w:color="E2E8F0"/>
            </w:tcBorders>
            <w:shd w:val="clear" w:color="auto" w:fill="FFFFFF"/>
            <w:tcMar>
              <w:top w:w="120" w:type="dxa"/>
              <w:left w:w="200" w:type="dxa"/>
              <w:bottom w:w="120" w:type="dxa"/>
              <w:right w:w="200" w:type="dxa"/>
            </w:tcMar>
          </w:tcPr>
          <w:p w:rsidR="00221E8C" w:rsidRDefault="009B1883">
            <w:pPr>
              <w:spacing w:before="40" w:after="40"/>
            </w:pPr>
            <w:r>
              <w:rPr>
                <w:color w:val="2D3748"/>
                <w:sz w:val="21"/>
                <w:szCs w:val="21"/>
              </w:rPr>
              <w:t>–  Your income exceeds your expenses with a meaningful margin.</w:t>
            </w:r>
          </w:p>
          <w:p w:rsidR="00221E8C" w:rsidRDefault="009B1883">
            <w:pPr>
              <w:spacing w:before="40" w:after="40"/>
            </w:pPr>
            <w:r>
              <w:rPr>
                <w:color w:val="2D3748"/>
                <w:sz w:val="21"/>
                <w:szCs w:val="21"/>
              </w:rPr>
              <w:t>–  You have some savings or investment activity in place.</w:t>
            </w:r>
          </w:p>
          <w:p w:rsidR="00221E8C" w:rsidRDefault="009B1883">
            <w:pPr>
              <w:spacing w:before="40" w:after="40"/>
            </w:pPr>
            <w:r>
              <w:rPr>
                <w:color w:val="2D3748"/>
                <w:sz w:val="21"/>
                <w:szCs w:val="21"/>
              </w:rPr>
              <w:t>–  You are building, but not yet insulated from all forms of risk.</w:t>
            </w:r>
          </w:p>
        </w:tc>
      </w:tr>
      <w:tr w:rsidR="00221E8C">
        <w:tblPrEx>
          <w:tblCellMar>
            <w:top w:w="0" w:type="dxa"/>
            <w:bottom w:w="0" w:type="dxa"/>
          </w:tblCellMar>
        </w:tblPrEx>
        <w:tc>
          <w:tcPr>
            <w:tcW w:w="2200" w:type="dxa"/>
            <w:tcBorders>
              <w:top w:val="single" w:sz="1" w:space="0" w:color="E2E8F0"/>
              <w:left w:val="single" w:sz="1" w:space="0" w:color="E2E8F0"/>
              <w:bottom w:val="single" w:sz="1" w:space="0" w:color="E2E8F0"/>
              <w:right w:val="single" w:sz="1" w:space="0" w:color="E2E8F0"/>
            </w:tcBorders>
            <w:shd w:val="clear" w:color="auto" w:fill="EBF4FA"/>
            <w:tcMar>
              <w:top w:w="120" w:type="dxa"/>
              <w:left w:w="200" w:type="dxa"/>
              <w:bottom w:w="120" w:type="dxa"/>
              <w:right w:w="160" w:type="dxa"/>
            </w:tcMar>
          </w:tcPr>
          <w:p w:rsidR="00221E8C" w:rsidRDefault="009B1883">
            <w:r>
              <w:rPr>
                <w:b/>
                <w:bCs/>
                <w:color w:val="1E6B4A"/>
                <w:sz w:val="20"/>
                <w:szCs w:val="20"/>
              </w:rPr>
              <w:t>What Is Working</w:t>
            </w:r>
          </w:p>
        </w:tc>
        <w:tc>
          <w:tcPr>
            <w:tcW w:w="7160" w:type="dxa"/>
            <w:tcBorders>
              <w:top w:val="single" w:sz="1" w:space="0" w:color="E2E8F0"/>
              <w:left w:val="single" w:sz="1" w:space="0" w:color="E2E8F0"/>
              <w:bottom w:val="single" w:sz="1" w:space="0" w:color="E2E8F0"/>
              <w:right w:val="single" w:sz="1" w:space="0" w:color="E2E8F0"/>
            </w:tcBorders>
            <w:shd w:val="clear" w:color="auto" w:fill="FFFFFF"/>
            <w:tcMar>
              <w:top w:w="120" w:type="dxa"/>
              <w:left w:w="200" w:type="dxa"/>
              <w:bottom w:w="120" w:type="dxa"/>
              <w:right w:w="200" w:type="dxa"/>
            </w:tcMar>
          </w:tcPr>
          <w:p w:rsidR="00221E8C" w:rsidRDefault="009B1883">
            <w:pPr>
              <w:spacing w:before="40" w:after="40"/>
            </w:pPr>
            <w:r>
              <w:rPr>
                <w:color w:val="2D3748"/>
                <w:sz w:val="21"/>
                <w:szCs w:val="21"/>
              </w:rPr>
              <w:t>–  A financial buffer exists, providing short-term protection.</w:t>
            </w:r>
          </w:p>
          <w:p w:rsidR="00221E8C" w:rsidRDefault="009B1883">
            <w:pPr>
              <w:spacing w:before="40" w:after="40"/>
            </w:pPr>
            <w:r>
              <w:rPr>
                <w:color w:val="2D3748"/>
                <w:sz w:val="21"/>
                <w:szCs w:val="21"/>
              </w:rPr>
              <w:t>–  Savings or investment behavior is established.</w:t>
            </w:r>
          </w:p>
          <w:p w:rsidR="00221E8C" w:rsidRDefault="009B1883">
            <w:pPr>
              <w:spacing w:before="40" w:after="40"/>
            </w:pPr>
            <w:r>
              <w:rPr>
                <w:color w:val="2D3748"/>
                <w:sz w:val="21"/>
                <w:szCs w:val="21"/>
              </w:rPr>
              <w:t>–  You have the ability to make considered financial decisions rather than reactive ones.</w:t>
            </w:r>
          </w:p>
        </w:tc>
      </w:tr>
      <w:tr w:rsidR="00221E8C">
        <w:tblPrEx>
          <w:tblCellMar>
            <w:top w:w="0" w:type="dxa"/>
            <w:bottom w:w="0" w:type="dxa"/>
          </w:tblCellMar>
        </w:tblPrEx>
        <w:tc>
          <w:tcPr>
            <w:tcW w:w="2200" w:type="dxa"/>
            <w:tcBorders>
              <w:top w:val="single" w:sz="1" w:space="0" w:color="E2E8F0"/>
              <w:left w:val="single" w:sz="1" w:space="0" w:color="E2E8F0"/>
              <w:bottom w:val="single" w:sz="1" w:space="0" w:color="E2E8F0"/>
              <w:right w:val="single" w:sz="1" w:space="0" w:color="E2E8F0"/>
            </w:tcBorders>
            <w:shd w:val="clear" w:color="auto" w:fill="EBF4FA"/>
            <w:tcMar>
              <w:top w:w="120" w:type="dxa"/>
              <w:left w:w="200" w:type="dxa"/>
              <w:bottom w:w="120" w:type="dxa"/>
              <w:right w:w="160" w:type="dxa"/>
            </w:tcMar>
          </w:tcPr>
          <w:p w:rsidR="00221E8C" w:rsidRDefault="009B1883">
            <w:r>
              <w:rPr>
                <w:b/>
                <w:bCs/>
                <w:color w:val="C0392B"/>
                <w:sz w:val="20"/>
                <w:szCs w:val="20"/>
              </w:rPr>
              <w:t>What Is Fragile</w:t>
            </w:r>
          </w:p>
        </w:tc>
        <w:tc>
          <w:tcPr>
            <w:tcW w:w="7160" w:type="dxa"/>
            <w:tcBorders>
              <w:top w:val="single" w:sz="1" w:space="0" w:color="E2E8F0"/>
              <w:left w:val="single" w:sz="1" w:space="0" w:color="E2E8F0"/>
              <w:bottom w:val="single" w:sz="1" w:space="0" w:color="E2E8F0"/>
              <w:right w:val="single" w:sz="1" w:space="0" w:color="E2E8F0"/>
            </w:tcBorders>
            <w:shd w:val="clear" w:color="auto" w:fill="FFFFFF"/>
            <w:tcMar>
              <w:top w:w="120" w:type="dxa"/>
              <w:left w:w="200" w:type="dxa"/>
              <w:bottom w:w="120" w:type="dxa"/>
              <w:right w:w="200" w:type="dxa"/>
            </w:tcMar>
          </w:tcPr>
          <w:p w:rsidR="00221E8C" w:rsidRDefault="009B1883">
            <w:pPr>
              <w:spacing w:before="40" w:after="40"/>
            </w:pPr>
            <w:r>
              <w:rPr>
                <w:color w:val="2D3748"/>
                <w:sz w:val="21"/>
                <w:szCs w:val="21"/>
              </w:rPr>
              <w:t>–  A single income source remains a vulnerability.</w:t>
            </w:r>
          </w:p>
          <w:p w:rsidR="00221E8C" w:rsidRDefault="009B1883">
            <w:pPr>
              <w:spacing w:before="40" w:after="40"/>
            </w:pPr>
            <w:r>
              <w:rPr>
                <w:color w:val="2D3748"/>
                <w:sz w:val="21"/>
                <w:szCs w:val="21"/>
              </w:rPr>
              <w:t>–  Investment activity may be inconsistent or undiversified.</w:t>
            </w:r>
          </w:p>
          <w:p w:rsidR="00221E8C" w:rsidRDefault="009B1883">
            <w:pPr>
              <w:spacing w:before="40" w:after="40"/>
            </w:pPr>
            <w:r>
              <w:rPr>
                <w:color w:val="2D3748"/>
                <w:sz w:val="21"/>
                <w:szCs w:val="21"/>
              </w:rPr>
              <w:t>–  Insurance and legal protections ma</w:t>
            </w:r>
            <w:r>
              <w:rPr>
                <w:color w:val="2D3748"/>
                <w:sz w:val="21"/>
                <w:szCs w:val="21"/>
              </w:rPr>
              <w:t>y not yet be fully in place.</w:t>
            </w:r>
          </w:p>
        </w:tc>
      </w:tr>
    </w:tbl>
    <w:p w:rsidR="00221E8C" w:rsidRDefault="00221E8C">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160"/>
      </w:tblGrid>
      <w:tr w:rsidR="00221E8C">
        <w:tblPrEx>
          <w:tblCellMar>
            <w:top w:w="0" w:type="dxa"/>
            <w:bottom w:w="0" w:type="dxa"/>
          </w:tblCellMar>
        </w:tblPrEx>
        <w:tc>
          <w:tcPr>
            <w:tcW w:w="9360" w:type="dxa"/>
            <w:gridSpan w:val="2"/>
            <w:tcBorders>
              <w:top w:val="single" w:sz="1" w:space="0" w:color="E2E8F0"/>
              <w:left w:val="single" w:sz="1" w:space="0" w:color="E2E8F0"/>
              <w:bottom w:val="single" w:sz="1" w:space="0" w:color="E2E8F0"/>
              <w:right w:val="single" w:sz="1" w:space="0" w:color="E2E8F0"/>
            </w:tcBorders>
            <w:shd w:val="clear" w:color="auto" w:fill="1A5C3A"/>
            <w:tcMar>
              <w:top w:w="120" w:type="dxa"/>
              <w:left w:w="200" w:type="dxa"/>
              <w:bottom w:w="120" w:type="dxa"/>
              <w:right w:w="200" w:type="dxa"/>
            </w:tcMar>
          </w:tcPr>
          <w:p w:rsidR="00221E8C" w:rsidRDefault="009B1883">
            <w:r>
              <w:rPr>
                <w:b/>
                <w:bCs/>
                <w:color w:val="FFFFFF"/>
                <w:sz w:val="24"/>
                <w:szCs w:val="24"/>
              </w:rPr>
              <w:t>ECONOMICALLY STABLE</w:t>
            </w:r>
          </w:p>
        </w:tc>
      </w:tr>
      <w:tr w:rsidR="00221E8C">
        <w:tblPrEx>
          <w:tblCellMar>
            <w:top w:w="0" w:type="dxa"/>
            <w:bottom w:w="0" w:type="dxa"/>
          </w:tblCellMar>
        </w:tblPrEx>
        <w:tc>
          <w:tcPr>
            <w:tcW w:w="2200" w:type="dxa"/>
            <w:tcBorders>
              <w:top w:val="single" w:sz="1" w:space="0" w:color="E2E8F0"/>
              <w:left w:val="single" w:sz="1" w:space="0" w:color="E2E8F0"/>
              <w:bottom w:val="single" w:sz="1" w:space="0" w:color="E2E8F0"/>
              <w:right w:val="single" w:sz="1" w:space="0" w:color="E2E8F0"/>
            </w:tcBorders>
            <w:shd w:val="clear" w:color="auto" w:fill="EBF7F0"/>
            <w:tcMar>
              <w:top w:w="120" w:type="dxa"/>
              <w:left w:w="200" w:type="dxa"/>
              <w:bottom w:w="120" w:type="dxa"/>
              <w:right w:w="160" w:type="dxa"/>
            </w:tcMar>
          </w:tcPr>
          <w:p w:rsidR="00221E8C" w:rsidRDefault="009B1883">
            <w:r>
              <w:rPr>
                <w:b/>
                <w:bCs/>
                <w:color w:val="4A5568"/>
                <w:sz w:val="20"/>
                <w:szCs w:val="20"/>
              </w:rPr>
              <w:t>What It Means</w:t>
            </w:r>
          </w:p>
        </w:tc>
        <w:tc>
          <w:tcPr>
            <w:tcW w:w="7160" w:type="dxa"/>
            <w:tcBorders>
              <w:top w:val="single" w:sz="1" w:space="0" w:color="E2E8F0"/>
              <w:left w:val="single" w:sz="1" w:space="0" w:color="E2E8F0"/>
              <w:bottom w:val="single" w:sz="1" w:space="0" w:color="E2E8F0"/>
              <w:right w:val="single" w:sz="1" w:space="0" w:color="E2E8F0"/>
            </w:tcBorders>
            <w:shd w:val="clear" w:color="auto" w:fill="FFFFFF"/>
            <w:tcMar>
              <w:top w:w="120" w:type="dxa"/>
              <w:left w:w="200" w:type="dxa"/>
              <w:bottom w:w="120" w:type="dxa"/>
              <w:right w:w="200" w:type="dxa"/>
            </w:tcMar>
          </w:tcPr>
          <w:p w:rsidR="00221E8C" w:rsidRDefault="009B1883">
            <w:pPr>
              <w:spacing w:before="40" w:after="40"/>
            </w:pPr>
            <w:r>
              <w:rPr>
                <w:color w:val="2D3748"/>
                <w:sz w:val="21"/>
                <w:szCs w:val="21"/>
              </w:rPr>
              <w:t>–  Your income is reliable, structured, and supported by more than one source.</w:t>
            </w:r>
          </w:p>
          <w:p w:rsidR="00221E8C" w:rsidRDefault="009B1883">
            <w:pPr>
              <w:spacing w:before="40" w:after="40"/>
            </w:pPr>
            <w:r>
              <w:rPr>
                <w:color w:val="2D3748"/>
                <w:sz w:val="21"/>
                <w:szCs w:val="21"/>
              </w:rPr>
              <w:t>–  Your expenses are managed and below your income capacity.</w:t>
            </w:r>
          </w:p>
          <w:p w:rsidR="00221E8C" w:rsidRDefault="009B1883">
            <w:pPr>
              <w:spacing w:before="40" w:after="40"/>
            </w:pPr>
            <w:r>
              <w:rPr>
                <w:color w:val="2D3748"/>
                <w:sz w:val="21"/>
                <w:szCs w:val="21"/>
              </w:rPr>
              <w:t>–  You are actively building wealth and protecting it.</w:t>
            </w:r>
          </w:p>
        </w:tc>
      </w:tr>
      <w:tr w:rsidR="00221E8C">
        <w:tblPrEx>
          <w:tblCellMar>
            <w:top w:w="0" w:type="dxa"/>
            <w:bottom w:w="0" w:type="dxa"/>
          </w:tblCellMar>
        </w:tblPrEx>
        <w:tc>
          <w:tcPr>
            <w:tcW w:w="2200" w:type="dxa"/>
            <w:tcBorders>
              <w:top w:val="single" w:sz="1" w:space="0" w:color="E2E8F0"/>
              <w:left w:val="single" w:sz="1" w:space="0" w:color="E2E8F0"/>
              <w:bottom w:val="single" w:sz="1" w:space="0" w:color="E2E8F0"/>
              <w:right w:val="single" w:sz="1" w:space="0" w:color="E2E8F0"/>
            </w:tcBorders>
            <w:shd w:val="clear" w:color="auto" w:fill="EBF7F0"/>
            <w:tcMar>
              <w:top w:w="120" w:type="dxa"/>
              <w:left w:w="200" w:type="dxa"/>
              <w:bottom w:w="120" w:type="dxa"/>
              <w:right w:w="160" w:type="dxa"/>
            </w:tcMar>
          </w:tcPr>
          <w:p w:rsidR="00221E8C" w:rsidRDefault="009B1883">
            <w:r>
              <w:rPr>
                <w:b/>
                <w:bCs/>
                <w:color w:val="1E6B4A"/>
                <w:sz w:val="20"/>
                <w:szCs w:val="20"/>
              </w:rPr>
              <w:t>What Is Working</w:t>
            </w:r>
          </w:p>
        </w:tc>
        <w:tc>
          <w:tcPr>
            <w:tcW w:w="7160" w:type="dxa"/>
            <w:tcBorders>
              <w:top w:val="single" w:sz="1" w:space="0" w:color="E2E8F0"/>
              <w:left w:val="single" w:sz="1" w:space="0" w:color="E2E8F0"/>
              <w:bottom w:val="single" w:sz="1" w:space="0" w:color="E2E8F0"/>
              <w:right w:val="single" w:sz="1" w:space="0" w:color="E2E8F0"/>
            </w:tcBorders>
            <w:shd w:val="clear" w:color="auto" w:fill="FFFFFF"/>
            <w:tcMar>
              <w:top w:w="120" w:type="dxa"/>
              <w:left w:w="200" w:type="dxa"/>
              <w:bottom w:w="120" w:type="dxa"/>
              <w:right w:w="200" w:type="dxa"/>
            </w:tcMar>
          </w:tcPr>
          <w:p w:rsidR="00221E8C" w:rsidRDefault="009B1883">
            <w:pPr>
              <w:spacing w:before="40" w:after="40"/>
            </w:pPr>
            <w:r>
              <w:rPr>
                <w:color w:val="2D3748"/>
                <w:sz w:val="21"/>
                <w:szCs w:val="21"/>
              </w:rPr>
              <w:t>–  Financial buffers provide genuine security.</w:t>
            </w:r>
          </w:p>
          <w:p w:rsidR="00221E8C" w:rsidRDefault="009B1883">
            <w:pPr>
              <w:spacing w:before="40" w:after="40"/>
            </w:pPr>
            <w:r>
              <w:rPr>
                <w:color w:val="2D3748"/>
                <w:sz w:val="21"/>
                <w:szCs w:val="21"/>
              </w:rPr>
              <w:t>–  Multiple income streams reduce dependence on any single source.</w:t>
            </w:r>
          </w:p>
          <w:p w:rsidR="00221E8C" w:rsidRDefault="009B1883">
            <w:pPr>
              <w:spacing w:before="40" w:after="40"/>
            </w:pPr>
            <w:r>
              <w:rPr>
                <w:color w:val="2D3748"/>
                <w:sz w:val="21"/>
                <w:szCs w:val="21"/>
              </w:rPr>
              <w:t>–  Wealth-building habits are consistent and compounding over time.</w:t>
            </w:r>
          </w:p>
        </w:tc>
      </w:tr>
      <w:tr w:rsidR="00221E8C">
        <w:tblPrEx>
          <w:tblCellMar>
            <w:top w:w="0" w:type="dxa"/>
            <w:bottom w:w="0" w:type="dxa"/>
          </w:tblCellMar>
        </w:tblPrEx>
        <w:tc>
          <w:tcPr>
            <w:tcW w:w="2200" w:type="dxa"/>
            <w:tcBorders>
              <w:top w:val="single" w:sz="1" w:space="0" w:color="E2E8F0"/>
              <w:left w:val="single" w:sz="1" w:space="0" w:color="E2E8F0"/>
              <w:bottom w:val="single" w:sz="1" w:space="0" w:color="E2E8F0"/>
              <w:right w:val="single" w:sz="1" w:space="0" w:color="E2E8F0"/>
            </w:tcBorders>
            <w:shd w:val="clear" w:color="auto" w:fill="EBF7F0"/>
            <w:tcMar>
              <w:top w:w="120" w:type="dxa"/>
              <w:left w:w="200" w:type="dxa"/>
              <w:bottom w:w="120" w:type="dxa"/>
              <w:right w:w="160" w:type="dxa"/>
            </w:tcMar>
          </w:tcPr>
          <w:p w:rsidR="00221E8C" w:rsidRDefault="009B1883">
            <w:r>
              <w:rPr>
                <w:b/>
                <w:bCs/>
                <w:color w:val="C0392B"/>
                <w:sz w:val="20"/>
                <w:szCs w:val="20"/>
              </w:rPr>
              <w:t>What Is Fragile</w:t>
            </w:r>
          </w:p>
        </w:tc>
        <w:tc>
          <w:tcPr>
            <w:tcW w:w="7160" w:type="dxa"/>
            <w:tcBorders>
              <w:top w:val="single" w:sz="1" w:space="0" w:color="E2E8F0"/>
              <w:left w:val="single" w:sz="1" w:space="0" w:color="E2E8F0"/>
              <w:bottom w:val="single" w:sz="1" w:space="0" w:color="E2E8F0"/>
              <w:right w:val="single" w:sz="1" w:space="0" w:color="E2E8F0"/>
            </w:tcBorders>
            <w:shd w:val="clear" w:color="auto" w:fill="FFFFFF"/>
            <w:tcMar>
              <w:top w:w="120" w:type="dxa"/>
              <w:left w:w="200" w:type="dxa"/>
              <w:bottom w:w="120" w:type="dxa"/>
              <w:right w:w="200" w:type="dxa"/>
            </w:tcMar>
          </w:tcPr>
          <w:p w:rsidR="00221E8C" w:rsidRDefault="009B1883">
            <w:pPr>
              <w:spacing w:before="40" w:after="40"/>
            </w:pPr>
            <w:r>
              <w:rPr>
                <w:color w:val="2D3748"/>
                <w:sz w:val="21"/>
                <w:szCs w:val="21"/>
              </w:rPr>
              <w:t>–  Complacency is the primary risk at this level.</w:t>
            </w:r>
          </w:p>
          <w:p w:rsidR="00221E8C" w:rsidRDefault="009B1883">
            <w:pPr>
              <w:spacing w:before="40" w:after="40"/>
            </w:pPr>
            <w:r>
              <w:rPr>
                <w:color w:val="2D3748"/>
                <w:sz w:val="21"/>
                <w:szCs w:val="21"/>
              </w:rPr>
              <w:t>–  Market exposure, inflation, and tax inefficiency can erode wealth silently.</w:t>
            </w:r>
          </w:p>
          <w:p w:rsidR="00221E8C" w:rsidRDefault="009B1883">
            <w:pPr>
              <w:spacing w:before="40" w:after="40"/>
            </w:pPr>
            <w:r>
              <w:rPr>
                <w:color w:val="2D3748"/>
                <w:sz w:val="21"/>
                <w:szCs w:val="21"/>
              </w:rPr>
              <w:t>–  Without review and reinforcement, even strong positions can weaken gradually.</w:t>
            </w:r>
          </w:p>
        </w:tc>
      </w:tr>
    </w:tbl>
    <w:p w:rsidR="00221E8C" w:rsidRDefault="00221E8C">
      <w:pPr>
        <w:spacing w:before="120" w:after="120"/>
      </w:pPr>
    </w:p>
    <w:p w:rsidR="00221E8C" w:rsidRDefault="009B1883">
      <w:r>
        <w:br w:type="page"/>
      </w:r>
    </w:p>
    <w:p w:rsidR="00221E8C" w:rsidRDefault="009B1883">
      <w:pPr>
        <w:pStyle w:val="Heading1"/>
      </w:pPr>
      <w:r>
        <w:lastRenderedPageBreak/>
        <w:t>04  |  How to Move Up</w:t>
      </w:r>
    </w:p>
    <w:p w:rsidR="00221E8C" w:rsidRDefault="00221E8C">
      <w:pPr>
        <w:pBdr>
          <w:bottom w:val="single" w:sz="8" w:space="1" w:color="1A4A2E"/>
        </w:pBdr>
        <w:spacing w:after="240"/>
      </w:pPr>
    </w:p>
    <w:p w:rsidR="00221E8C" w:rsidRDefault="009B1883">
      <w:pPr>
        <w:spacing w:before="60" w:after="120"/>
      </w:pPr>
      <w:r>
        <w:rPr>
          <w:color w:val="2D3748"/>
        </w:rPr>
        <w:t>The transition between financial positions is not accidental. It requires deliberate structural changes in four key areas: income stability, cost structure, financial buffers, and risk reduction. The steps below are ordered by priority. Complete them in se</w:t>
      </w:r>
      <w:r>
        <w:rPr>
          <w:color w:val="2D3748"/>
        </w:rPr>
        <w:t>quence.</w:t>
      </w:r>
    </w:p>
    <w:p w:rsidR="00221E8C" w:rsidRDefault="00221E8C">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5"/>
        <w:gridCol w:w="8835"/>
      </w:tblGrid>
      <w:tr w:rsidR="00221E8C">
        <w:tblPrEx>
          <w:tblCellMar>
            <w:top w:w="0" w:type="dxa"/>
            <w:bottom w:w="0" w:type="dxa"/>
          </w:tblCellMar>
        </w:tblPrEx>
        <w:tc>
          <w:tcPr>
            <w:tcW w:w="9360" w:type="dxa"/>
            <w:gridSpan w:val="2"/>
            <w:tcBorders>
              <w:top w:val="single" w:sz="1" w:space="0" w:color="E2E8F0"/>
              <w:left w:val="single" w:sz="1" w:space="0" w:color="E2E8F0"/>
              <w:bottom w:val="single" w:sz="1" w:space="0" w:color="E2E8F0"/>
              <w:right w:val="single" w:sz="1" w:space="0" w:color="E2E8F0"/>
            </w:tcBorders>
            <w:shd w:val="clear" w:color="auto" w:fill="0D1F2D"/>
            <w:tcMar>
              <w:top w:w="120" w:type="dxa"/>
              <w:left w:w="200" w:type="dxa"/>
              <w:bottom w:w="120" w:type="dxa"/>
              <w:right w:w="200" w:type="dxa"/>
            </w:tcMar>
          </w:tcPr>
          <w:p w:rsidR="00221E8C" w:rsidRPr="006847F9" w:rsidRDefault="009B1883">
            <w:pPr>
              <w:rPr>
                <w:color w:val="FFFFFF" w:themeColor="background1"/>
              </w:rPr>
            </w:pPr>
            <w:r w:rsidRPr="006847F9">
              <w:rPr>
                <w:b/>
                <w:bCs/>
                <w:color w:val="FFFFFF" w:themeColor="background1"/>
              </w:rPr>
              <w:t xml:space="preserve">ECONOMICALLY </w:t>
            </w:r>
            <w:r w:rsidRPr="006847F9">
              <w:rPr>
                <w:b/>
                <w:bCs/>
                <w:color w:val="FFFFFF" w:themeColor="background1"/>
              </w:rPr>
              <w:t xml:space="preserve">EXPOSED   →   </w:t>
            </w:r>
            <w:r w:rsidRPr="006847F9">
              <w:rPr>
                <w:b/>
                <w:bCs/>
                <w:color w:val="FFFFFF" w:themeColor="background1"/>
              </w:rPr>
              <w:t>ECONOMICALLY PRESSURED</w:t>
            </w:r>
          </w:p>
        </w:tc>
      </w:tr>
      <w:tr w:rsidR="00221E8C">
        <w:tblPrEx>
          <w:tblCellMar>
            <w:top w:w="0" w:type="dxa"/>
            <w:bottom w:w="0" w:type="dxa"/>
          </w:tblCellMar>
        </w:tblPrEx>
        <w:tc>
          <w:tcPr>
            <w:tcW w:w="400" w:type="dxa"/>
            <w:tcBorders>
              <w:top w:val="single" w:sz="1" w:space="0" w:color="E2E8F0"/>
              <w:left w:val="single" w:sz="1" w:space="0" w:color="E2E8F0"/>
              <w:bottom w:val="single" w:sz="1" w:space="0" w:color="E2E8F0"/>
              <w:right w:val="single" w:sz="1" w:space="0" w:color="E2E8F0"/>
            </w:tcBorders>
            <w:shd w:val="clear" w:color="auto" w:fill="F7F8FA"/>
            <w:tcMar>
              <w:top w:w="100" w:type="dxa"/>
              <w:left w:w="160" w:type="dxa"/>
              <w:bottom w:w="100" w:type="dxa"/>
              <w:right w:w="120" w:type="dxa"/>
            </w:tcMar>
          </w:tcPr>
          <w:p w:rsidR="00221E8C" w:rsidRDefault="009B1883">
            <w:pPr>
              <w:jc w:val="center"/>
            </w:pPr>
            <w:r>
              <w:rPr>
                <w:b/>
                <w:bCs/>
                <w:color w:val="1A4A2E"/>
              </w:rPr>
              <w:t>01</w:t>
            </w:r>
          </w:p>
        </w:tc>
        <w:tc>
          <w:tcPr>
            <w:tcW w:w="8960" w:type="dxa"/>
            <w:tcBorders>
              <w:top w:val="single" w:sz="1" w:space="0" w:color="E2E8F0"/>
              <w:left w:val="single" w:sz="1" w:space="0" w:color="E2E8F0"/>
              <w:bottom w:val="single" w:sz="1" w:space="0" w:color="E2E8F0"/>
              <w:right w:val="single" w:sz="1" w:space="0" w:color="E2E8F0"/>
            </w:tcBorders>
            <w:shd w:val="clear" w:color="auto" w:fill="FFFFFF"/>
            <w:tcMar>
              <w:top w:w="100" w:type="dxa"/>
              <w:left w:w="180" w:type="dxa"/>
              <w:bottom w:w="100" w:type="dxa"/>
              <w:right w:w="180" w:type="dxa"/>
            </w:tcMar>
          </w:tcPr>
          <w:p w:rsidR="00221E8C" w:rsidRDefault="009B1883">
            <w:pPr>
              <w:spacing w:after="40"/>
            </w:pPr>
            <w:r>
              <w:rPr>
                <w:b/>
                <w:bCs/>
                <w:color w:val="0D1F2D"/>
              </w:rPr>
              <w:t>Stabilize Income First</w:t>
            </w:r>
          </w:p>
          <w:p w:rsidR="00221E8C" w:rsidRDefault="009B1883">
            <w:r>
              <w:rPr>
                <w:color w:val="4A5568"/>
                <w:sz w:val="21"/>
                <w:szCs w:val="21"/>
              </w:rPr>
              <w:t>Before anything else, identify your most reliable income source and protect it. If employment is unstable, take immediate steps to secure it or add a secondary income stream, even if modest. Stability precedes growth.</w:t>
            </w:r>
          </w:p>
        </w:tc>
      </w:tr>
      <w:tr w:rsidR="00221E8C">
        <w:tblPrEx>
          <w:tblCellMar>
            <w:top w:w="0" w:type="dxa"/>
            <w:bottom w:w="0" w:type="dxa"/>
          </w:tblCellMar>
        </w:tblPrEx>
        <w:tc>
          <w:tcPr>
            <w:tcW w:w="400" w:type="dxa"/>
            <w:tcBorders>
              <w:top w:val="single" w:sz="1" w:space="0" w:color="E2E8F0"/>
              <w:left w:val="single" w:sz="1" w:space="0" w:color="E2E8F0"/>
              <w:bottom w:val="single" w:sz="1" w:space="0" w:color="E2E8F0"/>
              <w:right w:val="single" w:sz="1" w:space="0" w:color="E2E8F0"/>
            </w:tcBorders>
            <w:shd w:val="clear" w:color="auto" w:fill="F7F8FA"/>
            <w:tcMar>
              <w:top w:w="100" w:type="dxa"/>
              <w:left w:w="160" w:type="dxa"/>
              <w:bottom w:w="100" w:type="dxa"/>
              <w:right w:w="120" w:type="dxa"/>
            </w:tcMar>
          </w:tcPr>
          <w:p w:rsidR="00221E8C" w:rsidRDefault="009B1883">
            <w:pPr>
              <w:jc w:val="center"/>
            </w:pPr>
            <w:r>
              <w:rPr>
                <w:b/>
                <w:bCs/>
                <w:color w:val="1A4A2E"/>
              </w:rPr>
              <w:t>02</w:t>
            </w:r>
          </w:p>
        </w:tc>
        <w:tc>
          <w:tcPr>
            <w:tcW w:w="8960" w:type="dxa"/>
            <w:tcBorders>
              <w:top w:val="single" w:sz="1" w:space="0" w:color="E2E8F0"/>
              <w:left w:val="single" w:sz="1" w:space="0" w:color="E2E8F0"/>
              <w:bottom w:val="single" w:sz="1" w:space="0" w:color="E2E8F0"/>
              <w:right w:val="single" w:sz="1" w:space="0" w:color="E2E8F0"/>
            </w:tcBorders>
            <w:shd w:val="clear" w:color="auto" w:fill="FFFFFF"/>
            <w:tcMar>
              <w:top w:w="100" w:type="dxa"/>
              <w:left w:w="180" w:type="dxa"/>
              <w:bottom w:w="100" w:type="dxa"/>
              <w:right w:w="180" w:type="dxa"/>
            </w:tcMar>
          </w:tcPr>
          <w:p w:rsidR="00221E8C" w:rsidRDefault="009B1883">
            <w:pPr>
              <w:spacing w:after="40"/>
            </w:pPr>
            <w:r>
              <w:rPr>
                <w:b/>
                <w:bCs/>
                <w:color w:val="0D1F2D"/>
              </w:rPr>
              <w:t>Map Every Expense Without Judgment</w:t>
            </w:r>
          </w:p>
          <w:p w:rsidR="00221E8C" w:rsidRDefault="009B1883">
            <w:r>
              <w:rPr>
                <w:color w:val="4A5568"/>
                <w:sz w:val="21"/>
                <w:szCs w:val="21"/>
              </w:rPr>
              <w:t>List all monthly outflows. Categorize them as fixed obligations, variable necessities, and discretionary spending. This exercise alone often reveals immediate opportunities to reduce pressure.</w:t>
            </w:r>
          </w:p>
        </w:tc>
      </w:tr>
      <w:tr w:rsidR="00221E8C">
        <w:tblPrEx>
          <w:tblCellMar>
            <w:top w:w="0" w:type="dxa"/>
            <w:bottom w:w="0" w:type="dxa"/>
          </w:tblCellMar>
        </w:tblPrEx>
        <w:tc>
          <w:tcPr>
            <w:tcW w:w="400" w:type="dxa"/>
            <w:tcBorders>
              <w:top w:val="single" w:sz="1" w:space="0" w:color="E2E8F0"/>
              <w:left w:val="single" w:sz="1" w:space="0" w:color="E2E8F0"/>
              <w:bottom w:val="single" w:sz="1" w:space="0" w:color="E2E8F0"/>
              <w:right w:val="single" w:sz="1" w:space="0" w:color="E2E8F0"/>
            </w:tcBorders>
            <w:shd w:val="clear" w:color="auto" w:fill="F7F8FA"/>
            <w:tcMar>
              <w:top w:w="100" w:type="dxa"/>
              <w:left w:w="160" w:type="dxa"/>
              <w:bottom w:w="100" w:type="dxa"/>
              <w:right w:w="120" w:type="dxa"/>
            </w:tcMar>
          </w:tcPr>
          <w:p w:rsidR="00221E8C" w:rsidRDefault="009B1883">
            <w:pPr>
              <w:jc w:val="center"/>
            </w:pPr>
            <w:r>
              <w:rPr>
                <w:b/>
                <w:bCs/>
                <w:color w:val="1A4A2E"/>
              </w:rPr>
              <w:t>03</w:t>
            </w:r>
          </w:p>
        </w:tc>
        <w:tc>
          <w:tcPr>
            <w:tcW w:w="8960" w:type="dxa"/>
            <w:tcBorders>
              <w:top w:val="single" w:sz="1" w:space="0" w:color="E2E8F0"/>
              <w:left w:val="single" w:sz="1" w:space="0" w:color="E2E8F0"/>
              <w:bottom w:val="single" w:sz="1" w:space="0" w:color="E2E8F0"/>
              <w:right w:val="single" w:sz="1" w:space="0" w:color="E2E8F0"/>
            </w:tcBorders>
            <w:shd w:val="clear" w:color="auto" w:fill="FFFFFF"/>
            <w:tcMar>
              <w:top w:w="100" w:type="dxa"/>
              <w:left w:w="180" w:type="dxa"/>
              <w:bottom w:w="100" w:type="dxa"/>
              <w:right w:w="180" w:type="dxa"/>
            </w:tcMar>
          </w:tcPr>
          <w:p w:rsidR="00221E8C" w:rsidRDefault="009B1883">
            <w:pPr>
              <w:spacing w:after="40"/>
            </w:pPr>
            <w:r>
              <w:rPr>
                <w:b/>
                <w:bCs/>
                <w:color w:val="0D1F2D"/>
              </w:rPr>
              <w:t>Cut Non-Essential Outflows Immediately</w:t>
            </w:r>
          </w:p>
          <w:p w:rsidR="00221E8C" w:rsidRDefault="009B1883">
            <w:r>
              <w:rPr>
                <w:color w:val="4A5568"/>
                <w:sz w:val="21"/>
                <w:szCs w:val="21"/>
              </w:rPr>
              <w:t>Eliminate subscript</w:t>
            </w:r>
            <w:r>
              <w:rPr>
                <w:color w:val="4A5568"/>
                <w:sz w:val="21"/>
                <w:szCs w:val="21"/>
              </w:rPr>
              <w:t>ions, memberships, and discretionary costs that are not tied to income generation or basic living. Redirect every freed dollar toward creating a minimal buffer.</w:t>
            </w:r>
          </w:p>
        </w:tc>
      </w:tr>
      <w:tr w:rsidR="00221E8C">
        <w:tblPrEx>
          <w:tblCellMar>
            <w:top w:w="0" w:type="dxa"/>
            <w:bottom w:w="0" w:type="dxa"/>
          </w:tblCellMar>
        </w:tblPrEx>
        <w:tc>
          <w:tcPr>
            <w:tcW w:w="400" w:type="dxa"/>
            <w:tcBorders>
              <w:top w:val="single" w:sz="1" w:space="0" w:color="E2E8F0"/>
              <w:left w:val="single" w:sz="1" w:space="0" w:color="E2E8F0"/>
              <w:bottom w:val="single" w:sz="1" w:space="0" w:color="E2E8F0"/>
              <w:right w:val="single" w:sz="1" w:space="0" w:color="E2E8F0"/>
            </w:tcBorders>
            <w:shd w:val="clear" w:color="auto" w:fill="F7F8FA"/>
            <w:tcMar>
              <w:top w:w="100" w:type="dxa"/>
              <w:left w:w="160" w:type="dxa"/>
              <w:bottom w:w="100" w:type="dxa"/>
              <w:right w:w="120" w:type="dxa"/>
            </w:tcMar>
          </w:tcPr>
          <w:p w:rsidR="00221E8C" w:rsidRDefault="009B1883">
            <w:pPr>
              <w:jc w:val="center"/>
            </w:pPr>
            <w:r>
              <w:rPr>
                <w:b/>
                <w:bCs/>
                <w:color w:val="1A4A2E"/>
              </w:rPr>
              <w:t>04</w:t>
            </w:r>
          </w:p>
        </w:tc>
        <w:tc>
          <w:tcPr>
            <w:tcW w:w="8960" w:type="dxa"/>
            <w:tcBorders>
              <w:top w:val="single" w:sz="1" w:space="0" w:color="E2E8F0"/>
              <w:left w:val="single" w:sz="1" w:space="0" w:color="E2E8F0"/>
              <w:bottom w:val="single" w:sz="1" w:space="0" w:color="E2E8F0"/>
              <w:right w:val="single" w:sz="1" w:space="0" w:color="E2E8F0"/>
            </w:tcBorders>
            <w:shd w:val="clear" w:color="auto" w:fill="FFFFFF"/>
            <w:tcMar>
              <w:top w:w="100" w:type="dxa"/>
              <w:left w:w="180" w:type="dxa"/>
              <w:bottom w:w="100" w:type="dxa"/>
              <w:right w:w="180" w:type="dxa"/>
            </w:tcMar>
          </w:tcPr>
          <w:p w:rsidR="00221E8C" w:rsidRDefault="009B1883">
            <w:pPr>
              <w:spacing w:after="40"/>
            </w:pPr>
            <w:r>
              <w:rPr>
                <w:b/>
                <w:bCs/>
                <w:color w:val="0D1F2D"/>
              </w:rPr>
              <w:t>Build a Starter Emergency Buffer</w:t>
            </w:r>
          </w:p>
          <w:p w:rsidR="00221E8C" w:rsidRDefault="009B1883">
            <w:r>
              <w:rPr>
                <w:color w:val="4A5568"/>
                <w:sz w:val="21"/>
                <w:szCs w:val="21"/>
              </w:rPr>
              <w:t>Target one month of essential expenses in a separate, accessible account. This single action changes your relationship with financial risk. Do not invest this money. Its purpose is protection, not growth.</w:t>
            </w:r>
          </w:p>
        </w:tc>
      </w:tr>
      <w:tr w:rsidR="00221E8C">
        <w:tblPrEx>
          <w:tblCellMar>
            <w:top w:w="0" w:type="dxa"/>
            <w:bottom w:w="0" w:type="dxa"/>
          </w:tblCellMar>
        </w:tblPrEx>
        <w:tc>
          <w:tcPr>
            <w:tcW w:w="400" w:type="dxa"/>
            <w:tcBorders>
              <w:top w:val="single" w:sz="1" w:space="0" w:color="E2E8F0"/>
              <w:left w:val="single" w:sz="1" w:space="0" w:color="E2E8F0"/>
              <w:bottom w:val="single" w:sz="1" w:space="0" w:color="E2E8F0"/>
              <w:right w:val="single" w:sz="1" w:space="0" w:color="E2E8F0"/>
            </w:tcBorders>
            <w:shd w:val="clear" w:color="auto" w:fill="F7F8FA"/>
            <w:tcMar>
              <w:top w:w="100" w:type="dxa"/>
              <w:left w:w="160" w:type="dxa"/>
              <w:bottom w:w="100" w:type="dxa"/>
              <w:right w:w="120" w:type="dxa"/>
            </w:tcMar>
          </w:tcPr>
          <w:p w:rsidR="00221E8C" w:rsidRDefault="009B1883">
            <w:pPr>
              <w:jc w:val="center"/>
            </w:pPr>
            <w:r>
              <w:rPr>
                <w:b/>
                <w:bCs/>
                <w:color w:val="1A4A2E"/>
              </w:rPr>
              <w:t>05</w:t>
            </w:r>
          </w:p>
        </w:tc>
        <w:tc>
          <w:tcPr>
            <w:tcW w:w="8960" w:type="dxa"/>
            <w:tcBorders>
              <w:top w:val="single" w:sz="1" w:space="0" w:color="E2E8F0"/>
              <w:left w:val="single" w:sz="1" w:space="0" w:color="E2E8F0"/>
              <w:bottom w:val="single" w:sz="1" w:space="0" w:color="E2E8F0"/>
              <w:right w:val="single" w:sz="1" w:space="0" w:color="E2E8F0"/>
            </w:tcBorders>
            <w:shd w:val="clear" w:color="auto" w:fill="FFFFFF"/>
            <w:tcMar>
              <w:top w:w="100" w:type="dxa"/>
              <w:left w:w="180" w:type="dxa"/>
              <w:bottom w:w="100" w:type="dxa"/>
              <w:right w:w="180" w:type="dxa"/>
            </w:tcMar>
          </w:tcPr>
          <w:p w:rsidR="00221E8C" w:rsidRDefault="009B1883">
            <w:pPr>
              <w:spacing w:after="40"/>
            </w:pPr>
            <w:r>
              <w:rPr>
                <w:b/>
                <w:bCs/>
                <w:color w:val="0D1F2D"/>
              </w:rPr>
              <w:t>Address the Highest-Cost Debt</w:t>
            </w:r>
          </w:p>
          <w:p w:rsidR="00221E8C" w:rsidRDefault="009B1883">
            <w:r>
              <w:rPr>
                <w:color w:val="4A5568"/>
                <w:sz w:val="21"/>
                <w:szCs w:val="21"/>
              </w:rPr>
              <w:t>High-interest deb</w:t>
            </w:r>
            <w:r>
              <w:rPr>
                <w:color w:val="4A5568"/>
                <w:sz w:val="21"/>
                <w:szCs w:val="21"/>
              </w:rPr>
              <w:t>t is an income drain. Identify your most expensive debt by interest rate and concentrate minimum energy on it. Even modest extra payments reduce long-term pressure significantly.</w:t>
            </w:r>
          </w:p>
        </w:tc>
      </w:tr>
    </w:tbl>
    <w:p w:rsidR="00221E8C" w:rsidRDefault="00221E8C">
      <w:pPr>
        <w:spacing w:before="120"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5"/>
        <w:gridCol w:w="8835"/>
      </w:tblGrid>
      <w:tr w:rsidR="00221E8C">
        <w:tblPrEx>
          <w:tblCellMar>
            <w:top w:w="0" w:type="dxa"/>
            <w:bottom w:w="0" w:type="dxa"/>
          </w:tblCellMar>
        </w:tblPrEx>
        <w:tc>
          <w:tcPr>
            <w:tcW w:w="9360" w:type="dxa"/>
            <w:gridSpan w:val="2"/>
            <w:tcBorders>
              <w:top w:val="single" w:sz="1" w:space="0" w:color="E2E8F0"/>
              <w:left w:val="single" w:sz="1" w:space="0" w:color="E2E8F0"/>
              <w:bottom w:val="single" w:sz="1" w:space="0" w:color="E2E8F0"/>
              <w:right w:val="single" w:sz="1" w:space="0" w:color="E2E8F0"/>
            </w:tcBorders>
            <w:shd w:val="clear" w:color="auto" w:fill="0D1F2D"/>
            <w:tcMar>
              <w:top w:w="120" w:type="dxa"/>
              <w:left w:w="200" w:type="dxa"/>
              <w:bottom w:w="120" w:type="dxa"/>
              <w:right w:w="200" w:type="dxa"/>
            </w:tcMar>
          </w:tcPr>
          <w:p w:rsidR="00221E8C" w:rsidRDefault="009B1883">
            <w:r>
              <w:rPr>
                <w:b/>
                <w:bCs/>
                <w:color w:val="E2E8F0"/>
              </w:rPr>
              <w:t>ECONOMICALLY PRESSURED</w:t>
            </w:r>
            <w:r>
              <w:rPr>
                <w:b/>
                <w:bCs/>
                <w:color w:val="2D6E47"/>
              </w:rPr>
              <w:t xml:space="preserve">   →   </w:t>
            </w:r>
            <w:r>
              <w:rPr>
                <w:b/>
                <w:bCs/>
                <w:color w:val="EBF4FA"/>
              </w:rPr>
              <w:t>ECONOMICALLY POSITIONED</w:t>
            </w:r>
          </w:p>
        </w:tc>
      </w:tr>
      <w:tr w:rsidR="00221E8C">
        <w:tblPrEx>
          <w:tblCellMar>
            <w:top w:w="0" w:type="dxa"/>
            <w:bottom w:w="0" w:type="dxa"/>
          </w:tblCellMar>
        </w:tblPrEx>
        <w:tc>
          <w:tcPr>
            <w:tcW w:w="400" w:type="dxa"/>
            <w:tcBorders>
              <w:top w:val="single" w:sz="1" w:space="0" w:color="E2E8F0"/>
              <w:left w:val="single" w:sz="1" w:space="0" w:color="E2E8F0"/>
              <w:bottom w:val="single" w:sz="1" w:space="0" w:color="E2E8F0"/>
              <w:right w:val="single" w:sz="1" w:space="0" w:color="E2E8F0"/>
            </w:tcBorders>
            <w:shd w:val="clear" w:color="auto" w:fill="F7F8FA"/>
            <w:tcMar>
              <w:top w:w="100" w:type="dxa"/>
              <w:left w:w="160" w:type="dxa"/>
              <w:bottom w:w="100" w:type="dxa"/>
              <w:right w:w="120" w:type="dxa"/>
            </w:tcMar>
          </w:tcPr>
          <w:p w:rsidR="00221E8C" w:rsidRDefault="009B1883">
            <w:pPr>
              <w:jc w:val="center"/>
            </w:pPr>
            <w:r>
              <w:rPr>
                <w:b/>
                <w:bCs/>
                <w:color w:val="1A4A2E"/>
              </w:rPr>
              <w:t>01</w:t>
            </w:r>
          </w:p>
        </w:tc>
        <w:tc>
          <w:tcPr>
            <w:tcW w:w="8960" w:type="dxa"/>
            <w:tcBorders>
              <w:top w:val="single" w:sz="1" w:space="0" w:color="E2E8F0"/>
              <w:left w:val="single" w:sz="1" w:space="0" w:color="E2E8F0"/>
              <w:bottom w:val="single" w:sz="1" w:space="0" w:color="E2E8F0"/>
              <w:right w:val="single" w:sz="1" w:space="0" w:color="E2E8F0"/>
            </w:tcBorders>
            <w:shd w:val="clear" w:color="auto" w:fill="FFFFFF"/>
            <w:tcMar>
              <w:top w:w="100" w:type="dxa"/>
              <w:left w:w="180" w:type="dxa"/>
              <w:bottom w:w="100" w:type="dxa"/>
              <w:right w:w="180" w:type="dxa"/>
            </w:tcMar>
          </w:tcPr>
          <w:p w:rsidR="00221E8C" w:rsidRDefault="009B1883">
            <w:pPr>
              <w:spacing w:after="40"/>
            </w:pPr>
            <w:r>
              <w:rPr>
                <w:b/>
                <w:bCs/>
                <w:color w:val="0D1F2D"/>
              </w:rPr>
              <w:t>Extend Your Emergency Buffer to Three Months</w:t>
            </w:r>
          </w:p>
          <w:p w:rsidR="00221E8C" w:rsidRDefault="009B1883">
            <w:r>
              <w:rPr>
                <w:color w:val="4A5568"/>
                <w:sz w:val="21"/>
                <w:szCs w:val="21"/>
              </w:rPr>
              <w:t>A one-month buffer protects against disruption. A three-month buffer gives you the space to make better decisions. Build toward this before pursuing aggressive investment or savings targets.</w:t>
            </w:r>
          </w:p>
        </w:tc>
      </w:tr>
      <w:tr w:rsidR="00221E8C">
        <w:tblPrEx>
          <w:tblCellMar>
            <w:top w:w="0" w:type="dxa"/>
            <w:bottom w:w="0" w:type="dxa"/>
          </w:tblCellMar>
        </w:tblPrEx>
        <w:tc>
          <w:tcPr>
            <w:tcW w:w="400" w:type="dxa"/>
            <w:tcBorders>
              <w:top w:val="single" w:sz="1" w:space="0" w:color="E2E8F0"/>
              <w:left w:val="single" w:sz="1" w:space="0" w:color="E2E8F0"/>
              <w:bottom w:val="single" w:sz="1" w:space="0" w:color="E2E8F0"/>
              <w:right w:val="single" w:sz="1" w:space="0" w:color="E2E8F0"/>
            </w:tcBorders>
            <w:shd w:val="clear" w:color="auto" w:fill="F7F8FA"/>
            <w:tcMar>
              <w:top w:w="100" w:type="dxa"/>
              <w:left w:w="160" w:type="dxa"/>
              <w:bottom w:w="100" w:type="dxa"/>
              <w:right w:w="120" w:type="dxa"/>
            </w:tcMar>
          </w:tcPr>
          <w:p w:rsidR="00221E8C" w:rsidRDefault="009B1883">
            <w:pPr>
              <w:jc w:val="center"/>
            </w:pPr>
            <w:r>
              <w:rPr>
                <w:b/>
                <w:bCs/>
                <w:color w:val="1A4A2E"/>
              </w:rPr>
              <w:t>02</w:t>
            </w:r>
          </w:p>
        </w:tc>
        <w:tc>
          <w:tcPr>
            <w:tcW w:w="8960" w:type="dxa"/>
            <w:tcBorders>
              <w:top w:val="single" w:sz="1" w:space="0" w:color="E2E8F0"/>
              <w:left w:val="single" w:sz="1" w:space="0" w:color="E2E8F0"/>
              <w:bottom w:val="single" w:sz="1" w:space="0" w:color="E2E8F0"/>
              <w:right w:val="single" w:sz="1" w:space="0" w:color="E2E8F0"/>
            </w:tcBorders>
            <w:shd w:val="clear" w:color="auto" w:fill="FFFFFF"/>
            <w:tcMar>
              <w:top w:w="100" w:type="dxa"/>
              <w:left w:w="180" w:type="dxa"/>
              <w:bottom w:w="100" w:type="dxa"/>
              <w:right w:w="180" w:type="dxa"/>
            </w:tcMar>
          </w:tcPr>
          <w:p w:rsidR="00221E8C" w:rsidRDefault="009B1883">
            <w:pPr>
              <w:spacing w:after="40"/>
            </w:pPr>
            <w:r>
              <w:rPr>
                <w:b/>
                <w:bCs/>
                <w:color w:val="0D1F2D"/>
              </w:rPr>
              <w:t>Introduce a Second Income Stream</w:t>
            </w:r>
          </w:p>
          <w:p w:rsidR="00221E8C" w:rsidRDefault="009B1883">
            <w:r>
              <w:rPr>
                <w:color w:val="4A5568"/>
                <w:sz w:val="21"/>
                <w:szCs w:val="21"/>
              </w:rPr>
              <w:t>Even a modest secondary income reduces your dependence on a single source and creates surplus. Freelance work, consulting, or a structured side activity can shift your position materially over 90 days.</w:t>
            </w:r>
          </w:p>
        </w:tc>
      </w:tr>
      <w:tr w:rsidR="00221E8C">
        <w:tblPrEx>
          <w:tblCellMar>
            <w:top w:w="0" w:type="dxa"/>
            <w:bottom w:w="0" w:type="dxa"/>
          </w:tblCellMar>
        </w:tblPrEx>
        <w:tc>
          <w:tcPr>
            <w:tcW w:w="400" w:type="dxa"/>
            <w:tcBorders>
              <w:top w:val="single" w:sz="1" w:space="0" w:color="E2E8F0"/>
              <w:left w:val="single" w:sz="1" w:space="0" w:color="E2E8F0"/>
              <w:bottom w:val="single" w:sz="1" w:space="0" w:color="E2E8F0"/>
              <w:right w:val="single" w:sz="1" w:space="0" w:color="E2E8F0"/>
            </w:tcBorders>
            <w:shd w:val="clear" w:color="auto" w:fill="F7F8FA"/>
            <w:tcMar>
              <w:top w:w="100" w:type="dxa"/>
              <w:left w:w="160" w:type="dxa"/>
              <w:bottom w:w="100" w:type="dxa"/>
              <w:right w:w="120" w:type="dxa"/>
            </w:tcMar>
          </w:tcPr>
          <w:p w:rsidR="00221E8C" w:rsidRDefault="009B1883">
            <w:pPr>
              <w:jc w:val="center"/>
            </w:pPr>
            <w:r>
              <w:rPr>
                <w:b/>
                <w:bCs/>
                <w:color w:val="1A4A2E"/>
              </w:rPr>
              <w:t>03</w:t>
            </w:r>
          </w:p>
        </w:tc>
        <w:tc>
          <w:tcPr>
            <w:tcW w:w="8960" w:type="dxa"/>
            <w:tcBorders>
              <w:top w:val="single" w:sz="1" w:space="0" w:color="E2E8F0"/>
              <w:left w:val="single" w:sz="1" w:space="0" w:color="E2E8F0"/>
              <w:bottom w:val="single" w:sz="1" w:space="0" w:color="E2E8F0"/>
              <w:right w:val="single" w:sz="1" w:space="0" w:color="E2E8F0"/>
            </w:tcBorders>
            <w:shd w:val="clear" w:color="auto" w:fill="FFFFFF"/>
            <w:tcMar>
              <w:top w:w="100" w:type="dxa"/>
              <w:left w:w="180" w:type="dxa"/>
              <w:bottom w:w="100" w:type="dxa"/>
              <w:right w:w="180" w:type="dxa"/>
            </w:tcMar>
          </w:tcPr>
          <w:p w:rsidR="00221E8C" w:rsidRDefault="009B1883">
            <w:pPr>
              <w:spacing w:after="40"/>
            </w:pPr>
            <w:r>
              <w:rPr>
                <w:b/>
                <w:bCs/>
                <w:color w:val="0D1F2D"/>
              </w:rPr>
              <w:t xml:space="preserve">Restructure Debt </w:t>
            </w:r>
            <w:r>
              <w:rPr>
                <w:b/>
                <w:bCs/>
                <w:color w:val="0D1F2D"/>
              </w:rPr>
              <w:t>to Free Cash Flow</w:t>
            </w:r>
          </w:p>
          <w:p w:rsidR="00221E8C" w:rsidRDefault="009B1883">
            <w:r>
              <w:rPr>
                <w:color w:val="4A5568"/>
                <w:sz w:val="21"/>
                <w:szCs w:val="21"/>
              </w:rPr>
              <w:lastRenderedPageBreak/>
              <w:t>Explore consolidation or negotiated terms on high-interest debt. Reducing monthly debt service creates surplus that can be redirected to savings. One restructured account can change your monthly position immediately.</w:t>
            </w:r>
          </w:p>
        </w:tc>
      </w:tr>
      <w:tr w:rsidR="00221E8C">
        <w:tblPrEx>
          <w:tblCellMar>
            <w:top w:w="0" w:type="dxa"/>
            <w:bottom w:w="0" w:type="dxa"/>
          </w:tblCellMar>
        </w:tblPrEx>
        <w:tc>
          <w:tcPr>
            <w:tcW w:w="400" w:type="dxa"/>
            <w:tcBorders>
              <w:top w:val="single" w:sz="1" w:space="0" w:color="E2E8F0"/>
              <w:left w:val="single" w:sz="1" w:space="0" w:color="E2E8F0"/>
              <w:bottom w:val="single" w:sz="1" w:space="0" w:color="E2E8F0"/>
              <w:right w:val="single" w:sz="1" w:space="0" w:color="E2E8F0"/>
            </w:tcBorders>
            <w:shd w:val="clear" w:color="auto" w:fill="F7F8FA"/>
            <w:tcMar>
              <w:top w:w="100" w:type="dxa"/>
              <w:left w:w="160" w:type="dxa"/>
              <w:bottom w:w="100" w:type="dxa"/>
              <w:right w:w="120" w:type="dxa"/>
            </w:tcMar>
          </w:tcPr>
          <w:p w:rsidR="00221E8C" w:rsidRDefault="009B1883">
            <w:pPr>
              <w:jc w:val="center"/>
            </w:pPr>
            <w:r>
              <w:rPr>
                <w:b/>
                <w:bCs/>
                <w:color w:val="1A4A2E"/>
              </w:rPr>
              <w:t>04</w:t>
            </w:r>
          </w:p>
        </w:tc>
        <w:tc>
          <w:tcPr>
            <w:tcW w:w="8960" w:type="dxa"/>
            <w:tcBorders>
              <w:top w:val="single" w:sz="1" w:space="0" w:color="E2E8F0"/>
              <w:left w:val="single" w:sz="1" w:space="0" w:color="E2E8F0"/>
              <w:bottom w:val="single" w:sz="1" w:space="0" w:color="E2E8F0"/>
              <w:right w:val="single" w:sz="1" w:space="0" w:color="E2E8F0"/>
            </w:tcBorders>
            <w:shd w:val="clear" w:color="auto" w:fill="FFFFFF"/>
            <w:tcMar>
              <w:top w:w="100" w:type="dxa"/>
              <w:left w:w="180" w:type="dxa"/>
              <w:bottom w:w="100" w:type="dxa"/>
              <w:right w:w="180" w:type="dxa"/>
            </w:tcMar>
          </w:tcPr>
          <w:p w:rsidR="00221E8C" w:rsidRDefault="009B1883">
            <w:pPr>
              <w:spacing w:after="40"/>
            </w:pPr>
            <w:r>
              <w:rPr>
                <w:b/>
                <w:bCs/>
                <w:color w:val="0D1F2D"/>
              </w:rPr>
              <w:t>Implement Automat</w:t>
            </w:r>
            <w:r>
              <w:rPr>
                <w:b/>
                <w:bCs/>
                <w:color w:val="0D1F2D"/>
              </w:rPr>
              <w:t>ed Savings</w:t>
            </w:r>
          </w:p>
          <w:p w:rsidR="00221E8C" w:rsidRDefault="009B1883">
            <w:r>
              <w:rPr>
                <w:color w:val="4A5568"/>
                <w:sz w:val="21"/>
                <w:szCs w:val="21"/>
              </w:rPr>
              <w:t>Set a fixed amount to transfer automatically to savings on the day income arrives. Even a small amount builds discipline and accumulation. Automate the behavior before increasing the amount.</w:t>
            </w:r>
          </w:p>
        </w:tc>
      </w:tr>
      <w:tr w:rsidR="00221E8C">
        <w:tblPrEx>
          <w:tblCellMar>
            <w:top w:w="0" w:type="dxa"/>
            <w:bottom w:w="0" w:type="dxa"/>
          </w:tblCellMar>
        </w:tblPrEx>
        <w:tc>
          <w:tcPr>
            <w:tcW w:w="400" w:type="dxa"/>
            <w:tcBorders>
              <w:top w:val="single" w:sz="1" w:space="0" w:color="E2E8F0"/>
              <w:left w:val="single" w:sz="1" w:space="0" w:color="E2E8F0"/>
              <w:bottom w:val="single" w:sz="1" w:space="0" w:color="E2E8F0"/>
              <w:right w:val="single" w:sz="1" w:space="0" w:color="E2E8F0"/>
            </w:tcBorders>
            <w:shd w:val="clear" w:color="auto" w:fill="F7F8FA"/>
            <w:tcMar>
              <w:top w:w="100" w:type="dxa"/>
              <w:left w:w="160" w:type="dxa"/>
              <w:bottom w:w="100" w:type="dxa"/>
              <w:right w:w="120" w:type="dxa"/>
            </w:tcMar>
          </w:tcPr>
          <w:p w:rsidR="00221E8C" w:rsidRDefault="009B1883">
            <w:pPr>
              <w:jc w:val="center"/>
            </w:pPr>
            <w:r>
              <w:rPr>
                <w:b/>
                <w:bCs/>
                <w:color w:val="1A4A2E"/>
              </w:rPr>
              <w:t>05</w:t>
            </w:r>
          </w:p>
        </w:tc>
        <w:tc>
          <w:tcPr>
            <w:tcW w:w="8960" w:type="dxa"/>
            <w:tcBorders>
              <w:top w:val="single" w:sz="1" w:space="0" w:color="E2E8F0"/>
              <w:left w:val="single" w:sz="1" w:space="0" w:color="E2E8F0"/>
              <w:bottom w:val="single" w:sz="1" w:space="0" w:color="E2E8F0"/>
              <w:right w:val="single" w:sz="1" w:space="0" w:color="E2E8F0"/>
            </w:tcBorders>
            <w:shd w:val="clear" w:color="auto" w:fill="FFFFFF"/>
            <w:tcMar>
              <w:top w:w="100" w:type="dxa"/>
              <w:left w:w="180" w:type="dxa"/>
              <w:bottom w:w="100" w:type="dxa"/>
              <w:right w:w="180" w:type="dxa"/>
            </w:tcMar>
          </w:tcPr>
          <w:p w:rsidR="00221E8C" w:rsidRDefault="009B1883">
            <w:pPr>
              <w:spacing w:after="40"/>
            </w:pPr>
            <w:r>
              <w:rPr>
                <w:b/>
                <w:bCs/>
                <w:color w:val="0D1F2D"/>
              </w:rPr>
              <w:t>Review Cost Structure Quarterly</w:t>
            </w:r>
          </w:p>
          <w:p w:rsidR="00221E8C" w:rsidRDefault="009B1883">
            <w:r>
              <w:rPr>
                <w:color w:val="4A5568"/>
                <w:sz w:val="21"/>
                <w:szCs w:val="21"/>
              </w:rPr>
              <w:t>Expenses grow silently. A quarterly review of all outflows identifies creep before it becomes pressure. Schedule it on your calendar as a non-negotiable 30-minute task.</w:t>
            </w:r>
          </w:p>
        </w:tc>
      </w:tr>
    </w:tbl>
    <w:p w:rsidR="00221E8C" w:rsidRDefault="00221E8C">
      <w:pPr>
        <w:spacing w:before="120"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5"/>
        <w:gridCol w:w="8835"/>
      </w:tblGrid>
      <w:tr w:rsidR="00221E8C">
        <w:tblPrEx>
          <w:tblCellMar>
            <w:top w:w="0" w:type="dxa"/>
            <w:bottom w:w="0" w:type="dxa"/>
          </w:tblCellMar>
        </w:tblPrEx>
        <w:tc>
          <w:tcPr>
            <w:tcW w:w="9360" w:type="dxa"/>
            <w:gridSpan w:val="2"/>
            <w:tcBorders>
              <w:top w:val="single" w:sz="1" w:space="0" w:color="E2E8F0"/>
              <w:left w:val="single" w:sz="1" w:space="0" w:color="E2E8F0"/>
              <w:bottom w:val="single" w:sz="1" w:space="0" w:color="E2E8F0"/>
              <w:right w:val="single" w:sz="1" w:space="0" w:color="E2E8F0"/>
            </w:tcBorders>
            <w:shd w:val="clear" w:color="auto" w:fill="0D1F2D"/>
            <w:tcMar>
              <w:top w:w="120" w:type="dxa"/>
              <w:left w:w="200" w:type="dxa"/>
              <w:bottom w:w="120" w:type="dxa"/>
              <w:right w:w="200" w:type="dxa"/>
            </w:tcMar>
          </w:tcPr>
          <w:p w:rsidR="00221E8C" w:rsidRDefault="009B1883">
            <w:r>
              <w:rPr>
                <w:b/>
                <w:bCs/>
                <w:color w:val="EBF4FA"/>
              </w:rPr>
              <w:t>ECONOMICALLY POSITIONED</w:t>
            </w:r>
            <w:r>
              <w:rPr>
                <w:b/>
                <w:bCs/>
                <w:color w:val="2D6E47"/>
              </w:rPr>
              <w:t xml:space="preserve">   →   </w:t>
            </w:r>
            <w:r>
              <w:rPr>
                <w:b/>
                <w:bCs/>
                <w:color w:val="EBF7F0"/>
              </w:rPr>
              <w:t>ECONOMICALLY STABLE</w:t>
            </w:r>
          </w:p>
        </w:tc>
      </w:tr>
      <w:tr w:rsidR="00221E8C">
        <w:tblPrEx>
          <w:tblCellMar>
            <w:top w:w="0" w:type="dxa"/>
            <w:bottom w:w="0" w:type="dxa"/>
          </w:tblCellMar>
        </w:tblPrEx>
        <w:tc>
          <w:tcPr>
            <w:tcW w:w="400" w:type="dxa"/>
            <w:tcBorders>
              <w:top w:val="single" w:sz="1" w:space="0" w:color="E2E8F0"/>
              <w:left w:val="single" w:sz="1" w:space="0" w:color="E2E8F0"/>
              <w:bottom w:val="single" w:sz="1" w:space="0" w:color="E2E8F0"/>
              <w:right w:val="single" w:sz="1" w:space="0" w:color="E2E8F0"/>
            </w:tcBorders>
            <w:shd w:val="clear" w:color="auto" w:fill="F7F8FA"/>
            <w:tcMar>
              <w:top w:w="100" w:type="dxa"/>
              <w:left w:w="160" w:type="dxa"/>
              <w:bottom w:w="100" w:type="dxa"/>
              <w:right w:w="120" w:type="dxa"/>
            </w:tcMar>
          </w:tcPr>
          <w:p w:rsidR="00221E8C" w:rsidRDefault="009B1883">
            <w:pPr>
              <w:jc w:val="center"/>
            </w:pPr>
            <w:r>
              <w:rPr>
                <w:b/>
                <w:bCs/>
                <w:color w:val="1A4A2E"/>
              </w:rPr>
              <w:t>01</w:t>
            </w:r>
          </w:p>
        </w:tc>
        <w:tc>
          <w:tcPr>
            <w:tcW w:w="8960" w:type="dxa"/>
            <w:tcBorders>
              <w:top w:val="single" w:sz="1" w:space="0" w:color="E2E8F0"/>
              <w:left w:val="single" w:sz="1" w:space="0" w:color="E2E8F0"/>
              <w:bottom w:val="single" w:sz="1" w:space="0" w:color="E2E8F0"/>
              <w:right w:val="single" w:sz="1" w:space="0" w:color="E2E8F0"/>
            </w:tcBorders>
            <w:shd w:val="clear" w:color="auto" w:fill="FFFFFF"/>
            <w:tcMar>
              <w:top w:w="100" w:type="dxa"/>
              <w:left w:w="180" w:type="dxa"/>
              <w:bottom w:w="100" w:type="dxa"/>
              <w:right w:w="180" w:type="dxa"/>
            </w:tcMar>
          </w:tcPr>
          <w:p w:rsidR="00221E8C" w:rsidRDefault="009B1883">
            <w:pPr>
              <w:spacing w:after="40"/>
            </w:pPr>
            <w:r>
              <w:rPr>
                <w:b/>
                <w:bCs/>
                <w:color w:val="0D1F2D"/>
              </w:rPr>
              <w:t>Diversify and Formalize Income</w:t>
            </w:r>
          </w:p>
          <w:p w:rsidR="00221E8C" w:rsidRDefault="009B1883">
            <w:r>
              <w:rPr>
                <w:color w:val="4A5568"/>
                <w:sz w:val="21"/>
                <w:szCs w:val="21"/>
              </w:rPr>
              <w:t>Move from informal secondary income to structured, reliable income streams. This may include consulting arrangements, equity participation, rental income, or structured investment returns. Documented, recurring income is far more stable than occasional pro</w:t>
            </w:r>
            <w:r>
              <w:rPr>
                <w:color w:val="4A5568"/>
                <w:sz w:val="21"/>
                <w:szCs w:val="21"/>
              </w:rPr>
              <w:t>ject work.</w:t>
            </w:r>
          </w:p>
        </w:tc>
      </w:tr>
      <w:tr w:rsidR="00221E8C">
        <w:tblPrEx>
          <w:tblCellMar>
            <w:top w:w="0" w:type="dxa"/>
            <w:bottom w:w="0" w:type="dxa"/>
          </w:tblCellMar>
        </w:tblPrEx>
        <w:tc>
          <w:tcPr>
            <w:tcW w:w="400" w:type="dxa"/>
            <w:tcBorders>
              <w:top w:val="single" w:sz="1" w:space="0" w:color="E2E8F0"/>
              <w:left w:val="single" w:sz="1" w:space="0" w:color="E2E8F0"/>
              <w:bottom w:val="single" w:sz="1" w:space="0" w:color="E2E8F0"/>
              <w:right w:val="single" w:sz="1" w:space="0" w:color="E2E8F0"/>
            </w:tcBorders>
            <w:shd w:val="clear" w:color="auto" w:fill="F7F8FA"/>
            <w:tcMar>
              <w:top w:w="100" w:type="dxa"/>
              <w:left w:w="160" w:type="dxa"/>
              <w:bottom w:w="100" w:type="dxa"/>
              <w:right w:w="120" w:type="dxa"/>
            </w:tcMar>
          </w:tcPr>
          <w:p w:rsidR="00221E8C" w:rsidRDefault="009B1883">
            <w:pPr>
              <w:jc w:val="center"/>
            </w:pPr>
            <w:r>
              <w:rPr>
                <w:b/>
                <w:bCs/>
                <w:color w:val="1A4A2E"/>
              </w:rPr>
              <w:t>02</w:t>
            </w:r>
          </w:p>
        </w:tc>
        <w:tc>
          <w:tcPr>
            <w:tcW w:w="8960" w:type="dxa"/>
            <w:tcBorders>
              <w:top w:val="single" w:sz="1" w:space="0" w:color="E2E8F0"/>
              <w:left w:val="single" w:sz="1" w:space="0" w:color="E2E8F0"/>
              <w:bottom w:val="single" w:sz="1" w:space="0" w:color="E2E8F0"/>
              <w:right w:val="single" w:sz="1" w:space="0" w:color="E2E8F0"/>
            </w:tcBorders>
            <w:shd w:val="clear" w:color="auto" w:fill="FFFFFF"/>
            <w:tcMar>
              <w:top w:w="100" w:type="dxa"/>
              <w:left w:w="180" w:type="dxa"/>
              <w:bottom w:w="100" w:type="dxa"/>
              <w:right w:w="180" w:type="dxa"/>
            </w:tcMar>
          </w:tcPr>
          <w:p w:rsidR="00221E8C" w:rsidRDefault="009B1883">
            <w:pPr>
              <w:spacing w:after="40"/>
            </w:pPr>
            <w:r>
              <w:rPr>
                <w:b/>
                <w:bCs/>
                <w:color w:val="0D1F2D"/>
              </w:rPr>
              <w:t>Extend Buffer to Six Months of Full Expenses</w:t>
            </w:r>
          </w:p>
          <w:p w:rsidR="00221E8C" w:rsidRDefault="009B1883">
            <w:r>
              <w:rPr>
                <w:color w:val="4A5568"/>
                <w:sz w:val="21"/>
                <w:szCs w:val="21"/>
              </w:rPr>
              <w:t>Stability requires a buffer that covers total expenses, not just essential ones, for a minimum of six months. At this level, a significant disruption should not affect your standard of living or investment activity.</w:t>
            </w:r>
          </w:p>
        </w:tc>
      </w:tr>
      <w:tr w:rsidR="00221E8C">
        <w:tblPrEx>
          <w:tblCellMar>
            <w:top w:w="0" w:type="dxa"/>
            <w:bottom w:w="0" w:type="dxa"/>
          </w:tblCellMar>
        </w:tblPrEx>
        <w:tc>
          <w:tcPr>
            <w:tcW w:w="400" w:type="dxa"/>
            <w:tcBorders>
              <w:top w:val="single" w:sz="1" w:space="0" w:color="E2E8F0"/>
              <w:left w:val="single" w:sz="1" w:space="0" w:color="E2E8F0"/>
              <w:bottom w:val="single" w:sz="1" w:space="0" w:color="E2E8F0"/>
              <w:right w:val="single" w:sz="1" w:space="0" w:color="E2E8F0"/>
            </w:tcBorders>
            <w:shd w:val="clear" w:color="auto" w:fill="F7F8FA"/>
            <w:tcMar>
              <w:top w:w="100" w:type="dxa"/>
              <w:left w:w="160" w:type="dxa"/>
              <w:bottom w:w="100" w:type="dxa"/>
              <w:right w:w="120" w:type="dxa"/>
            </w:tcMar>
          </w:tcPr>
          <w:p w:rsidR="00221E8C" w:rsidRDefault="009B1883">
            <w:pPr>
              <w:jc w:val="center"/>
            </w:pPr>
            <w:r>
              <w:rPr>
                <w:b/>
                <w:bCs/>
                <w:color w:val="1A4A2E"/>
              </w:rPr>
              <w:t>03</w:t>
            </w:r>
          </w:p>
        </w:tc>
        <w:tc>
          <w:tcPr>
            <w:tcW w:w="8960" w:type="dxa"/>
            <w:tcBorders>
              <w:top w:val="single" w:sz="1" w:space="0" w:color="E2E8F0"/>
              <w:left w:val="single" w:sz="1" w:space="0" w:color="E2E8F0"/>
              <w:bottom w:val="single" w:sz="1" w:space="0" w:color="E2E8F0"/>
              <w:right w:val="single" w:sz="1" w:space="0" w:color="E2E8F0"/>
            </w:tcBorders>
            <w:shd w:val="clear" w:color="auto" w:fill="FFFFFF"/>
            <w:tcMar>
              <w:top w:w="100" w:type="dxa"/>
              <w:left w:w="180" w:type="dxa"/>
              <w:bottom w:w="100" w:type="dxa"/>
              <w:right w:w="180" w:type="dxa"/>
            </w:tcMar>
          </w:tcPr>
          <w:p w:rsidR="00221E8C" w:rsidRDefault="009B1883">
            <w:pPr>
              <w:spacing w:after="40"/>
            </w:pPr>
            <w:r>
              <w:rPr>
                <w:b/>
                <w:bCs/>
                <w:color w:val="0D1F2D"/>
              </w:rPr>
              <w:t>Establish a Structured Investment Pl</w:t>
            </w:r>
            <w:r>
              <w:rPr>
                <w:b/>
                <w:bCs/>
                <w:color w:val="0D1F2D"/>
              </w:rPr>
              <w:t>an</w:t>
            </w:r>
          </w:p>
          <w:p w:rsidR="00221E8C" w:rsidRDefault="009B1883">
            <w:r>
              <w:rPr>
                <w:color w:val="4A5568"/>
                <w:sz w:val="21"/>
                <w:szCs w:val="21"/>
              </w:rPr>
              <w:t>Investing without a plan produces inconsistent results. Define your investment objectives, time horizon, and risk tolerance. Allocate consistently each month regardless of market conditions. Consistency outperforms timing.</w:t>
            </w:r>
          </w:p>
        </w:tc>
      </w:tr>
      <w:tr w:rsidR="00221E8C">
        <w:tblPrEx>
          <w:tblCellMar>
            <w:top w:w="0" w:type="dxa"/>
            <w:bottom w:w="0" w:type="dxa"/>
          </w:tblCellMar>
        </w:tblPrEx>
        <w:tc>
          <w:tcPr>
            <w:tcW w:w="400" w:type="dxa"/>
            <w:tcBorders>
              <w:top w:val="single" w:sz="1" w:space="0" w:color="E2E8F0"/>
              <w:left w:val="single" w:sz="1" w:space="0" w:color="E2E8F0"/>
              <w:bottom w:val="single" w:sz="1" w:space="0" w:color="E2E8F0"/>
              <w:right w:val="single" w:sz="1" w:space="0" w:color="E2E8F0"/>
            </w:tcBorders>
            <w:shd w:val="clear" w:color="auto" w:fill="F7F8FA"/>
            <w:tcMar>
              <w:top w:w="100" w:type="dxa"/>
              <w:left w:w="160" w:type="dxa"/>
              <w:bottom w:w="100" w:type="dxa"/>
              <w:right w:w="120" w:type="dxa"/>
            </w:tcMar>
          </w:tcPr>
          <w:p w:rsidR="00221E8C" w:rsidRDefault="009B1883">
            <w:pPr>
              <w:jc w:val="center"/>
            </w:pPr>
            <w:r>
              <w:rPr>
                <w:b/>
                <w:bCs/>
                <w:color w:val="1A4A2E"/>
              </w:rPr>
              <w:t>04</w:t>
            </w:r>
          </w:p>
        </w:tc>
        <w:tc>
          <w:tcPr>
            <w:tcW w:w="8960" w:type="dxa"/>
            <w:tcBorders>
              <w:top w:val="single" w:sz="1" w:space="0" w:color="E2E8F0"/>
              <w:left w:val="single" w:sz="1" w:space="0" w:color="E2E8F0"/>
              <w:bottom w:val="single" w:sz="1" w:space="0" w:color="E2E8F0"/>
              <w:right w:val="single" w:sz="1" w:space="0" w:color="E2E8F0"/>
            </w:tcBorders>
            <w:shd w:val="clear" w:color="auto" w:fill="FFFFFF"/>
            <w:tcMar>
              <w:top w:w="100" w:type="dxa"/>
              <w:left w:w="180" w:type="dxa"/>
              <w:bottom w:w="100" w:type="dxa"/>
              <w:right w:w="180" w:type="dxa"/>
            </w:tcMar>
          </w:tcPr>
          <w:p w:rsidR="00221E8C" w:rsidRDefault="009B1883">
            <w:pPr>
              <w:spacing w:after="40"/>
            </w:pPr>
            <w:r>
              <w:rPr>
                <w:b/>
                <w:bCs/>
                <w:color w:val="0D1F2D"/>
              </w:rPr>
              <w:t>Put Legal and Insurance Pr</w:t>
            </w:r>
            <w:r>
              <w:rPr>
                <w:b/>
                <w:bCs/>
                <w:color w:val="0D1F2D"/>
              </w:rPr>
              <w:t>otections in Place</w:t>
            </w:r>
          </w:p>
          <w:p w:rsidR="00221E8C" w:rsidRDefault="009B1883">
            <w:r>
              <w:rPr>
                <w:color w:val="4A5568"/>
                <w:sz w:val="21"/>
                <w:szCs w:val="21"/>
              </w:rPr>
              <w:t>Review your insurance coverage for gaps. Establish or update a will, beneficiary designations, and any business or income protection structures relevant to your situation. These protections preserve what you have built.</w:t>
            </w:r>
          </w:p>
        </w:tc>
      </w:tr>
      <w:tr w:rsidR="00221E8C">
        <w:tblPrEx>
          <w:tblCellMar>
            <w:top w:w="0" w:type="dxa"/>
            <w:bottom w:w="0" w:type="dxa"/>
          </w:tblCellMar>
        </w:tblPrEx>
        <w:tc>
          <w:tcPr>
            <w:tcW w:w="400" w:type="dxa"/>
            <w:tcBorders>
              <w:top w:val="single" w:sz="1" w:space="0" w:color="E2E8F0"/>
              <w:left w:val="single" w:sz="1" w:space="0" w:color="E2E8F0"/>
              <w:bottom w:val="single" w:sz="1" w:space="0" w:color="E2E8F0"/>
              <w:right w:val="single" w:sz="1" w:space="0" w:color="E2E8F0"/>
            </w:tcBorders>
            <w:shd w:val="clear" w:color="auto" w:fill="F7F8FA"/>
            <w:tcMar>
              <w:top w:w="100" w:type="dxa"/>
              <w:left w:w="160" w:type="dxa"/>
              <w:bottom w:w="100" w:type="dxa"/>
              <w:right w:w="120" w:type="dxa"/>
            </w:tcMar>
          </w:tcPr>
          <w:p w:rsidR="00221E8C" w:rsidRDefault="009B1883">
            <w:pPr>
              <w:jc w:val="center"/>
            </w:pPr>
            <w:r>
              <w:rPr>
                <w:b/>
                <w:bCs/>
                <w:color w:val="1A4A2E"/>
              </w:rPr>
              <w:t>05</w:t>
            </w:r>
          </w:p>
        </w:tc>
        <w:tc>
          <w:tcPr>
            <w:tcW w:w="8960" w:type="dxa"/>
            <w:tcBorders>
              <w:top w:val="single" w:sz="1" w:space="0" w:color="E2E8F0"/>
              <w:left w:val="single" w:sz="1" w:space="0" w:color="E2E8F0"/>
              <w:bottom w:val="single" w:sz="1" w:space="0" w:color="E2E8F0"/>
              <w:right w:val="single" w:sz="1" w:space="0" w:color="E2E8F0"/>
            </w:tcBorders>
            <w:shd w:val="clear" w:color="auto" w:fill="FFFFFF"/>
            <w:tcMar>
              <w:top w:w="100" w:type="dxa"/>
              <w:left w:w="180" w:type="dxa"/>
              <w:bottom w:w="100" w:type="dxa"/>
              <w:right w:w="180" w:type="dxa"/>
            </w:tcMar>
          </w:tcPr>
          <w:p w:rsidR="00221E8C" w:rsidRDefault="009B1883">
            <w:pPr>
              <w:spacing w:after="40"/>
            </w:pPr>
            <w:r>
              <w:rPr>
                <w:b/>
                <w:bCs/>
                <w:color w:val="0D1F2D"/>
              </w:rPr>
              <w:t>Track Net Worth Monthly</w:t>
            </w:r>
          </w:p>
          <w:p w:rsidR="00221E8C" w:rsidRDefault="009B1883">
            <w:r>
              <w:rPr>
                <w:color w:val="4A5568"/>
                <w:sz w:val="21"/>
                <w:szCs w:val="21"/>
              </w:rPr>
              <w:t>At this stage, income tracking alone is insufficient. Begin monitoring your full net worth: assets minus liabilities. This measure reflects real progress and identifies problems before they become costly.</w:t>
            </w:r>
          </w:p>
        </w:tc>
      </w:tr>
    </w:tbl>
    <w:p w:rsidR="00221E8C" w:rsidRDefault="00221E8C">
      <w:pPr>
        <w:spacing w:before="120" w:after="120"/>
      </w:pPr>
    </w:p>
    <w:p w:rsidR="00221E8C" w:rsidRDefault="009B1883">
      <w:r>
        <w:br w:type="page"/>
      </w:r>
    </w:p>
    <w:p w:rsidR="00221E8C" w:rsidRDefault="009B1883">
      <w:pPr>
        <w:pStyle w:val="Heading1"/>
      </w:pPr>
      <w:r>
        <w:lastRenderedPageBreak/>
        <w:t xml:space="preserve">05  </w:t>
      </w:r>
      <w:bookmarkStart w:id="0" w:name="_GoBack"/>
      <w:bookmarkEnd w:id="0"/>
      <w:r>
        <w:t>|  How to Stay Strong</w:t>
      </w:r>
    </w:p>
    <w:p w:rsidR="00221E8C" w:rsidRDefault="00221E8C">
      <w:pPr>
        <w:pBdr>
          <w:bottom w:val="single" w:sz="8" w:space="1" w:color="1A4A2E"/>
        </w:pBdr>
        <w:spacing w:after="240"/>
      </w:pPr>
    </w:p>
    <w:p w:rsidR="00221E8C" w:rsidRDefault="009B1883">
      <w:pPr>
        <w:spacing w:before="60" w:after="120"/>
      </w:pPr>
      <w:r>
        <w:rPr>
          <w:color w:val="2D3748"/>
        </w:rPr>
        <w:t>For those in the Economically Stable position, the primary task shifts from building to protecting and expanding. The risks at this level are different but equally real: complacency, inflation, overexposure to a single asset class, and gradual cost creep.</w:t>
      </w:r>
    </w:p>
    <w:p w:rsidR="00221E8C" w:rsidRDefault="00221E8C">
      <w:pPr>
        <w:spacing w:before="60" w:after="60"/>
      </w:pPr>
    </w:p>
    <w:p w:rsidR="00221E8C" w:rsidRDefault="009B1883">
      <w:pPr>
        <w:pStyle w:val="Heading2"/>
      </w:pPr>
      <w:r>
        <w:t>Protect Against Silent Erosion</w:t>
      </w:r>
    </w:p>
    <w:p w:rsidR="00221E8C" w:rsidRDefault="009B1883">
      <w:pPr>
        <w:spacing w:before="60" w:after="120"/>
      </w:pPr>
      <w:r>
        <w:rPr>
          <w:color w:val="2D3748"/>
        </w:rPr>
        <w:t>Inflation reduces purchasing power even when income remains constant. Review your buffer accounts and any idle cash holdings annually to ensure they are not losing value in real terms. Cash held in low-yield accounts over ti</w:t>
      </w:r>
      <w:r>
        <w:rPr>
          <w:color w:val="2D3748"/>
        </w:rPr>
        <w:t>me is a cost, not a safety net.</w:t>
      </w:r>
    </w:p>
    <w:p w:rsidR="00221E8C" w:rsidRDefault="009B1883">
      <w:pPr>
        <w:pStyle w:val="Heading2"/>
      </w:pPr>
      <w:r>
        <w:t>Diversify Income Before You Need To</w:t>
      </w:r>
    </w:p>
    <w:p w:rsidR="00221E8C" w:rsidRDefault="009B1883">
      <w:pPr>
        <w:spacing w:before="60" w:after="120"/>
      </w:pPr>
      <w:r>
        <w:rPr>
          <w:color w:val="2D3748"/>
        </w:rPr>
        <w:t>Stable positions are often built on a primary income source that has become reliable. That reliability can create overconfidence. Actively develop a second and third income stream before a</w:t>
      </w:r>
      <w:r>
        <w:rPr>
          <w:color w:val="2D3748"/>
        </w:rPr>
        <w:t>ny disruption to the primary source occurs. The time to build alternatives is when you do not need them.</w:t>
      </w:r>
    </w:p>
    <w:p w:rsidR="00221E8C" w:rsidRDefault="009B1883">
      <w:pPr>
        <w:pStyle w:val="Heading2"/>
      </w:pPr>
      <w:r>
        <w:t>Review Investment Allocation Annually</w:t>
      </w:r>
    </w:p>
    <w:p w:rsidR="00221E8C" w:rsidRDefault="009B1883">
      <w:pPr>
        <w:spacing w:before="60" w:after="120"/>
      </w:pPr>
      <w:r>
        <w:rPr>
          <w:color w:val="2D3748"/>
        </w:rPr>
        <w:t>Market conditions, personal circumstances, and risk tolerance change. An allocation that was appropriate three ye</w:t>
      </w:r>
      <w:r>
        <w:rPr>
          <w:color w:val="2D3748"/>
        </w:rPr>
        <w:t>ars ago may carry inappropriate concentration risk today. Schedule a formal annual review of your investment portfolio and adjust where necessary.</w:t>
      </w:r>
    </w:p>
    <w:p w:rsidR="00221E8C" w:rsidRDefault="009B1883">
      <w:pPr>
        <w:pStyle w:val="Heading2"/>
      </w:pPr>
      <w:r>
        <w:t>Manage Tax Exposure Actively</w:t>
      </w:r>
    </w:p>
    <w:p w:rsidR="00221E8C" w:rsidRDefault="009B1883">
      <w:pPr>
        <w:spacing w:before="60" w:after="120"/>
      </w:pPr>
      <w:r>
        <w:rPr>
          <w:color w:val="2D3748"/>
        </w:rPr>
        <w:t>At this level, tax structure becomes a meaningful financial tool. Work with a qu</w:t>
      </w:r>
      <w:r>
        <w:rPr>
          <w:color w:val="2D3748"/>
        </w:rPr>
        <w:t>alified tax professional to review your structure annually. The objective is not avoidance but efficiency: ensuring that your income is working as productively as possible after obligations are met.</w:t>
      </w:r>
    </w:p>
    <w:p w:rsidR="00221E8C" w:rsidRDefault="009B1883">
      <w:pPr>
        <w:pStyle w:val="Heading2"/>
      </w:pPr>
      <w:r>
        <w:t>Set a Personal Net Worth Target</w:t>
      </w:r>
    </w:p>
    <w:p w:rsidR="00221E8C" w:rsidRDefault="009B1883">
      <w:pPr>
        <w:spacing w:before="60" w:after="120"/>
      </w:pPr>
      <w:r>
        <w:rPr>
          <w:color w:val="2D3748"/>
        </w:rPr>
        <w:t>Without a defined target,</w:t>
      </w:r>
      <w:r>
        <w:rPr>
          <w:color w:val="2D3748"/>
        </w:rPr>
        <w:t xml:space="preserve"> wealth accumulation tends to plateau. Establish a five-year net worth goal that is specific and measurable. Break it into annual milestones. Review quarterly. This practice maintains the discipline that built your position in the first place.</w:t>
      </w:r>
    </w:p>
    <w:p w:rsidR="00221E8C" w:rsidRDefault="009B1883">
      <w:pPr>
        <w:pStyle w:val="Heading2"/>
      </w:pPr>
      <w:r>
        <w:t xml:space="preserve">Stress Test </w:t>
      </w:r>
      <w:r>
        <w:t>Your Position</w:t>
      </w:r>
    </w:p>
    <w:p w:rsidR="00221E8C" w:rsidRDefault="009B1883">
      <w:pPr>
        <w:spacing w:before="60" w:after="120"/>
      </w:pPr>
      <w:r>
        <w:rPr>
          <w:color w:val="2D3748"/>
        </w:rPr>
        <w:t>Once per year, ask the following questions: If my primary income stopped today, how long could I maintain my current obligations without structural change? If a major unplanned expense occurred, how would it affect my investment activity? The</w:t>
      </w:r>
      <w:r>
        <w:rPr>
          <w:color w:val="2D3748"/>
        </w:rPr>
        <w:t xml:space="preserve"> answers reveal whether your position is genuinely stable or dependent on circumstances remaining constant.</w:t>
      </w:r>
    </w:p>
    <w:p w:rsidR="00221E8C" w:rsidRDefault="00221E8C">
      <w:pPr>
        <w:spacing w:before="120" w:after="120"/>
      </w:pPr>
    </w:p>
    <w:p w:rsidR="00221E8C" w:rsidRDefault="009B1883">
      <w:r>
        <w:br w:type="page"/>
      </w:r>
    </w:p>
    <w:p w:rsidR="00221E8C" w:rsidRDefault="009B1883">
      <w:pPr>
        <w:pStyle w:val="Heading1"/>
      </w:pPr>
      <w:r>
        <w:lastRenderedPageBreak/>
        <w:t>06  |  7-Day Action Plan</w:t>
      </w:r>
    </w:p>
    <w:p w:rsidR="00221E8C" w:rsidRDefault="00221E8C">
      <w:pPr>
        <w:pBdr>
          <w:bottom w:val="single" w:sz="8" w:space="1" w:color="1A4A2E"/>
        </w:pBdr>
        <w:spacing w:after="240"/>
      </w:pPr>
    </w:p>
    <w:p w:rsidR="00221E8C" w:rsidRDefault="009B1883">
      <w:pPr>
        <w:spacing w:before="60" w:after="120"/>
      </w:pPr>
      <w:r>
        <w:rPr>
          <w:color w:val="2D3748"/>
        </w:rPr>
        <w:t>Regardless of your financial position, the following plan provides an immediate starting point. Complete each step in s</w:t>
      </w:r>
      <w:r>
        <w:rPr>
          <w:color w:val="2D3748"/>
        </w:rPr>
        <w:t>equence. The goal of this week is clarity and a single concrete action taken per day.</w:t>
      </w:r>
    </w:p>
    <w:p w:rsidR="00221E8C" w:rsidRDefault="00221E8C">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1620"/>
        <w:gridCol w:w="6840"/>
      </w:tblGrid>
      <w:tr w:rsidR="006847F9" w:rsidTr="002B5E35">
        <w:tblPrEx>
          <w:tblCellMar>
            <w:top w:w="0" w:type="dxa"/>
            <w:bottom w:w="0" w:type="dxa"/>
          </w:tblCellMar>
        </w:tblPrEx>
        <w:trPr>
          <w:tblHeader/>
        </w:trPr>
        <w:tc>
          <w:tcPr>
            <w:tcW w:w="900" w:type="dxa"/>
            <w:tcBorders>
              <w:top w:val="single" w:sz="1" w:space="0" w:color="CBD5E0"/>
              <w:left w:val="single" w:sz="1" w:space="0" w:color="CBD5E0"/>
              <w:bottom w:val="single" w:sz="1" w:space="0" w:color="CBD5E0"/>
              <w:right w:val="single" w:sz="1" w:space="0" w:color="CBD5E0"/>
            </w:tcBorders>
            <w:shd w:val="clear" w:color="auto" w:fill="1A2A4A"/>
            <w:tcMar>
              <w:top w:w="100" w:type="dxa"/>
              <w:left w:w="120" w:type="dxa"/>
              <w:bottom w:w="100" w:type="dxa"/>
              <w:right w:w="100" w:type="dxa"/>
            </w:tcMar>
          </w:tcPr>
          <w:p w:rsidR="006847F9" w:rsidRDefault="006847F9" w:rsidP="002B5E35">
            <w:r>
              <w:rPr>
                <w:b/>
                <w:bCs/>
                <w:color w:val="FFFFFF"/>
                <w:sz w:val="20"/>
                <w:szCs w:val="20"/>
              </w:rPr>
              <w:t>Day</w:t>
            </w:r>
          </w:p>
        </w:tc>
        <w:tc>
          <w:tcPr>
            <w:tcW w:w="1620" w:type="dxa"/>
            <w:tcBorders>
              <w:top w:val="single" w:sz="1" w:space="0" w:color="CBD5E0"/>
              <w:left w:val="single" w:sz="1" w:space="0" w:color="CBD5E0"/>
              <w:bottom w:val="single" w:sz="1" w:space="0" w:color="CBD5E0"/>
              <w:right w:val="single" w:sz="1" w:space="0" w:color="CBD5E0"/>
            </w:tcBorders>
            <w:shd w:val="clear" w:color="auto" w:fill="1A2A4A"/>
            <w:tcMar>
              <w:top w:w="100" w:type="dxa"/>
              <w:left w:w="120" w:type="dxa"/>
              <w:bottom w:w="100" w:type="dxa"/>
              <w:right w:w="100" w:type="dxa"/>
            </w:tcMar>
          </w:tcPr>
          <w:p w:rsidR="006847F9" w:rsidRDefault="006847F9" w:rsidP="002B5E35">
            <w:r>
              <w:rPr>
                <w:b/>
                <w:bCs/>
                <w:color w:val="FFFFFF"/>
                <w:sz w:val="20"/>
                <w:szCs w:val="20"/>
              </w:rPr>
              <w:t>Focus</w:t>
            </w:r>
          </w:p>
        </w:tc>
        <w:tc>
          <w:tcPr>
            <w:tcW w:w="6840" w:type="dxa"/>
            <w:tcBorders>
              <w:top w:val="single" w:sz="1" w:space="0" w:color="CBD5E0"/>
              <w:left w:val="single" w:sz="1" w:space="0" w:color="CBD5E0"/>
              <w:bottom w:val="single" w:sz="1" w:space="0" w:color="CBD5E0"/>
              <w:right w:val="single" w:sz="1" w:space="0" w:color="CBD5E0"/>
            </w:tcBorders>
            <w:shd w:val="clear" w:color="auto" w:fill="1A2A4A"/>
            <w:tcMar>
              <w:top w:w="100" w:type="dxa"/>
              <w:left w:w="120" w:type="dxa"/>
              <w:bottom w:w="100" w:type="dxa"/>
              <w:right w:w="100" w:type="dxa"/>
            </w:tcMar>
          </w:tcPr>
          <w:p w:rsidR="006847F9" w:rsidRDefault="006847F9" w:rsidP="002B5E35">
            <w:r>
              <w:rPr>
                <w:b/>
                <w:bCs/>
                <w:color w:val="FFFFFF"/>
                <w:sz w:val="20"/>
                <w:szCs w:val="20"/>
              </w:rPr>
              <w:t>Action</w:t>
            </w:r>
          </w:p>
        </w:tc>
      </w:tr>
      <w:tr w:rsidR="006847F9" w:rsidTr="002B5E35">
        <w:tblPrEx>
          <w:tblCellMar>
            <w:top w:w="0" w:type="dxa"/>
            <w:bottom w:w="0" w:type="dxa"/>
          </w:tblCellMar>
        </w:tblPrEx>
        <w:tc>
          <w:tcPr>
            <w:tcW w:w="900" w:type="dxa"/>
            <w:tcBorders>
              <w:top w:val="single" w:sz="1" w:space="0" w:color="CBD5E0"/>
              <w:left w:val="single" w:sz="1" w:space="0" w:color="CBD5E0"/>
              <w:bottom w:val="single" w:sz="1" w:space="0" w:color="CBD5E0"/>
              <w:right w:val="single" w:sz="1" w:space="0" w:color="CBD5E0"/>
            </w:tcBorders>
            <w:shd w:val="clear" w:color="auto" w:fill="FFFFFF"/>
            <w:tcMar>
              <w:top w:w="100" w:type="dxa"/>
              <w:left w:w="120" w:type="dxa"/>
              <w:bottom w:w="100" w:type="dxa"/>
              <w:right w:w="100" w:type="dxa"/>
            </w:tcMar>
          </w:tcPr>
          <w:p w:rsidR="006847F9" w:rsidRDefault="006847F9" w:rsidP="002B5E35">
            <w:r>
              <w:rPr>
                <w:b/>
                <w:bCs/>
                <w:color w:val="1A2A4A"/>
                <w:sz w:val="20"/>
                <w:szCs w:val="20"/>
              </w:rPr>
              <w:t>Day 1</w:t>
            </w:r>
          </w:p>
        </w:tc>
        <w:tc>
          <w:tcPr>
            <w:tcW w:w="1620" w:type="dxa"/>
            <w:tcBorders>
              <w:top w:val="single" w:sz="1" w:space="0" w:color="CBD5E0"/>
              <w:left w:val="single" w:sz="1" w:space="0" w:color="CBD5E0"/>
              <w:bottom w:val="single" w:sz="1" w:space="0" w:color="CBD5E0"/>
              <w:right w:val="single" w:sz="1" w:space="0" w:color="CBD5E0"/>
            </w:tcBorders>
            <w:shd w:val="clear" w:color="auto" w:fill="FFFFFF"/>
            <w:tcMar>
              <w:top w:w="100" w:type="dxa"/>
              <w:left w:w="120" w:type="dxa"/>
              <w:bottom w:w="100" w:type="dxa"/>
              <w:right w:w="100" w:type="dxa"/>
            </w:tcMar>
          </w:tcPr>
          <w:p w:rsidR="006847F9" w:rsidRDefault="006847F9" w:rsidP="002B5E35">
            <w:r>
              <w:rPr>
                <w:b/>
                <w:bCs/>
                <w:color w:val="4A5568"/>
                <w:sz w:val="20"/>
                <w:szCs w:val="20"/>
              </w:rPr>
              <w:t>Financial Audit</w:t>
            </w:r>
          </w:p>
        </w:tc>
        <w:tc>
          <w:tcPr>
            <w:tcW w:w="6840" w:type="dxa"/>
            <w:tcBorders>
              <w:top w:val="single" w:sz="1" w:space="0" w:color="CBD5E0"/>
              <w:left w:val="single" w:sz="1" w:space="0" w:color="CBD5E0"/>
              <w:bottom w:val="single" w:sz="1" w:space="0" w:color="CBD5E0"/>
              <w:right w:val="single" w:sz="1" w:space="0" w:color="CBD5E0"/>
            </w:tcBorders>
            <w:shd w:val="clear" w:color="auto" w:fill="FFFFFF"/>
            <w:tcMar>
              <w:top w:w="100" w:type="dxa"/>
              <w:left w:w="120" w:type="dxa"/>
              <w:bottom w:w="100" w:type="dxa"/>
              <w:right w:w="100" w:type="dxa"/>
            </w:tcMar>
          </w:tcPr>
          <w:p w:rsidR="006847F9" w:rsidRDefault="006847F9" w:rsidP="002B5E35">
            <w:r>
              <w:rPr>
                <w:color w:val="4A5568"/>
                <w:sz w:val="20"/>
                <w:szCs w:val="20"/>
              </w:rPr>
              <w:t>List every income source, fixed expense, and recurring obligation. Do not estimate — use exact figures.</w:t>
            </w:r>
          </w:p>
        </w:tc>
      </w:tr>
      <w:tr w:rsidR="006847F9" w:rsidTr="002B5E35">
        <w:tblPrEx>
          <w:tblCellMar>
            <w:top w:w="0" w:type="dxa"/>
            <w:bottom w:w="0" w:type="dxa"/>
          </w:tblCellMar>
        </w:tblPrEx>
        <w:tc>
          <w:tcPr>
            <w:tcW w:w="900" w:type="dxa"/>
            <w:tcBorders>
              <w:top w:val="single" w:sz="1" w:space="0" w:color="CBD5E0"/>
              <w:left w:val="single" w:sz="1" w:space="0" w:color="CBD5E0"/>
              <w:bottom w:val="single" w:sz="1" w:space="0" w:color="CBD5E0"/>
              <w:right w:val="single" w:sz="1" w:space="0" w:color="CBD5E0"/>
            </w:tcBorders>
            <w:shd w:val="clear" w:color="auto" w:fill="F7F8FA"/>
            <w:tcMar>
              <w:top w:w="100" w:type="dxa"/>
              <w:left w:w="120" w:type="dxa"/>
              <w:bottom w:w="100" w:type="dxa"/>
              <w:right w:w="100" w:type="dxa"/>
            </w:tcMar>
          </w:tcPr>
          <w:p w:rsidR="006847F9" w:rsidRDefault="006847F9" w:rsidP="002B5E35">
            <w:r>
              <w:rPr>
                <w:b/>
                <w:bCs/>
                <w:color w:val="1A2A4A"/>
                <w:sz w:val="20"/>
                <w:szCs w:val="20"/>
              </w:rPr>
              <w:t>Day 2</w:t>
            </w:r>
          </w:p>
        </w:tc>
        <w:tc>
          <w:tcPr>
            <w:tcW w:w="1620" w:type="dxa"/>
            <w:tcBorders>
              <w:top w:val="single" w:sz="1" w:space="0" w:color="CBD5E0"/>
              <w:left w:val="single" w:sz="1" w:space="0" w:color="CBD5E0"/>
              <w:bottom w:val="single" w:sz="1" w:space="0" w:color="CBD5E0"/>
              <w:right w:val="single" w:sz="1" w:space="0" w:color="CBD5E0"/>
            </w:tcBorders>
            <w:shd w:val="clear" w:color="auto" w:fill="F7F8FA"/>
            <w:tcMar>
              <w:top w:w="100" w:type="dxa"/>
              <w:left w:w="120" w:type="dxa"/>
              <w:bottom w:w="100" w:type="dxa"/>
              <w:right w:w="100" w:type="dxa"/>
            </w:tcMar>
          </w:tcPr>
          <w:p w:rsidR="006847F9" w:rsidRDefault="006847F9" w:rsidP="002B5E35">
            <w:r>
              <w:rPr>
                <w:b/>
                <w:bCs/>
                <w:color w:val="4A5568"/>
                <w:sz w:val="20"/>
                <w:szCs w:val="20"/>
              </w:rPr>
              <w:t>Gap Analysis</w:t>
            </w:r>
          </w:p>
        </w:tc>
        <w:tc>
          <w:tcPr>
            <w:tcW w:w="6840" w:type="dxa"/>
            <w:tcBorders>
              <w:top w:val="single" w:sz="1" w:space="0" w:color="CBD5E0"/>
              <w:left w:val="single" w:sz="1" w:space="0" w:color="CBD5E0"/>
              <w:bottom w:val="single" w:sz="1" w:space="0" w:color="CBD5E0"/>
              <w:right w:val="single" w:sz="1" w:space="0" w:color="CBD5E0"/>
            </w:tcBorders>
            <w:shd w:val="clear" w:color="auto" w:fill="F7F8FA"/>
            <w:tcMar>
              <w:top w:w="100" w:type="dxa"/>
              <w:left w:w="120" w:type="dxa"/>
              <w:bottom w:w="100" w:type="dxa"/>
              <w:right w:w="100" w:type="dxa"/>
            </w:tcMar>
          </w:tcPr>
          <w:p w:rsidR="006847F9" w:rsidRDefault="006847F9" w:rsidP="002B5E35">
            <w:r>
              <w:rPr>
                <w:color w:val="4A5568"/>
                <w:sz w:val="20"/>
                <w:szCs w:val="20"/>
              </w:rPr>
              <w:t>Identify the gap between your total income and total outflows. Quantify what is left, what is at risk, and what is missing.</w:t>
            </w:r>
          </w:p>
        </w:tc>
      </w:tr>
      <w:tr w:rsidR="006847F9" w:rsidTr="002B5E35">
        <w:tblPrEx>
          <w:tblCellMar>
            <w:top w:w="0" w:type="dxa"/>
            <w:bottom w:w="0" w:type="dxa"/>
          </w:tblCellMar>
        </w:tblPrEx>
        <w:tc>
          <w:tcPr>
            <w:tcW w:w="900" w:type="dxa"/>
            <w:tcBorders>
              <w:top w:val="single" w:sz="1" w:space="0" w:color="CBD5E0"/>
              <w:left w:val="single" w:sz="1" w:space="0" w:color="CBD5E0"/>
              <w:bottom w:val="single" w:sz="1" w:space="0" w:color="CBD5E0"/>
              <w:right w:val="single" w:sz="1" w:space="0" w:color="CBD5E0"/>
            </w:tcBorders>
            <w:shd w:val="clear" w:color="auto" w:fill="FFFFFF"/>
            <w:tcMar>
              <w:top w:w="100" w:type="dxa"/>
              <w:left w:w="120" w:type="dxa"/>
              <w:bottom w:w="100" w:type="dxa"/>
              <w:right w:w="100" w:type="dxa"/>
            </w:tcMar>
          </w:tcPr>
          <w:p w:rsidR="006847F9" w:rsidRDefault="006847F9" w:rsidP="002B5E35">
            <w:r>
              <w:rPr>
                <w:b/>
                <w:bCs/>
                <w:color w:val="1A2A4A"/>
                <w:sz w:val="20"/>
                <w:szCs w:val="20"/>
              </w:rPr>
              <w:t>Day 3</w:t>
            </w:r>
          </w:p>
        </w:tc>
        <w:tc>
          <w:tcPr>
            <w:tcW w:w="1620" w:type="dxa"/>
            <w:tcBorders>
              <w:top w:val="single" w:sz="1" w:space="0" w:color="CBD5E0"/>
              <w:left w:val="single" w:sz="1" w:space="0" w:color="CBD5E0"/>
              <w:bottom w:val="single" w:sz="1" w:space="0" w:color="CBD5E0"/>
              <w:right w:val="single" w:sz="1" w:space="0" w:color="CBD5E0"/>
            </w:tcBorders>
            <w:shd w:val="clear" w:color="auto" w:fill="FFFFFF"/>
            <w:tcMar>
              <w:top w:w="100" w:type="dxa"/>
              <w:left w:w="120" w:type="dxa"/>
              <w:bottom w:w="100" w:type="dxa"/>
              <w:right w:w="100" w:type="dxa"/>
            </w:tcMar>
          </w:tcPr>
          <w:p w:rsidR="006847F9" w:rsidRDefault="006847F9" w:rsidP="002B5E35">
            <w:r>
              <w:rPr>
                <w:b/>
                <w:bCs/>
                <w:color w:val="4A5568"/>
                <w:sz w:val="20"/>
                <w:szCs w:val="20"/>
              </w:rPr>
              <w:t>Cost Reduction</w:t>
            </w:r>
          </w:p>
        </w:tc>
        <w:tc>
          <w:tcPr>
            <w:tcW w:w="6840" w:type="dxa"/>
            <w:tcBorders>
              <w:top w:val="single" w:sz="1" w:space="0" w:color="CBD5E0"/>
              <w:left w:val="single" w:sz="1" w:space="0" w:color="CBD5E0"/>
              <w:bottom w:val="single" w:sz="1" w:space="0" w:color="CBD5E0"/>
              <w:right w:val="single" w:sz="1" w:space="0" w:color="CBD5E0"/>
            </w:tcBorders>
            <w:shd w:val="clear" w:color="auto" w:fill="FFFFFF"/>
            <w:tcMar>
              <w:top w:w="100" w:type="dxa"/>
              <w:left w:w="120" w:type="dxa"/>
              <w:bottom w:w="100" w:type="dxa"/>
              <w:right w:w="100" w:type="dxa"/>
            </w:tcMar>
          </w:tcPr>
          <w:p w:rsidR="006847F9" w:rsidRDefault="006847F9" w:rsidP="002B5E35">
            <w:r>
              <w:rPr>
                <w:color w:val="4A5568"/>
                <w:sz w:val="20"/>
                <w:szCs w:val="20"/>
              </w:rPr>
              <w:t>Identify one to three non-essential expenses that can be eliminated or reduced immediately. Calculate the monthly recovery amount.</w:t>
            </w:r>
          </w:p>
        </w:tc>
      </w:tr>
      <w:tr w:rsidR="006847F9" w:rsidTr="002B5E35">
        <w:tblPrEx>
          <w:tblCellMar>
            <w:top w:w="0" w:type="dxa"/>
            <w:bottom w:w="0" w:type="dxa"/>
          </w:tblCellMar>
        </w:tblPrEx>
        <w:tc>
          <w:tcPr>
            <w:tcW w:w="900" w:type="dxa"/>
            <w:tcBorders>
              <w:top w:val="single" w:sz="1" w:space="0" w:color="CBD5E0"/>
              <w:left w:val="single" w:sz="1" w:space="0" w:color="CBD5E0"/>
              <w:bottom w:val="single" w:sz="1" w:space="0" w:color="CBD5E0"/>
              <w:right w:val="single" w:sz="1" w:space="0" w:color="CBD5E0"/>
            </w:tcBorders>
            <w:shd w:val="clear" w:color="auto" w:fill="F7F8FA"/>
            <w:tcMar>
              <w:top w:w="100" w:type="dxa"/>
              <w:left w:w="120" w:type="dxa"/>
              <w:bottom w:w="100" w:type="dxa"/>
              <w:right w:w="100" w:type="dxa"/>
            </w:tcMar>
          </w:tcPr>
          <w:p w:rsidR="006847F9" w:rsidRDefault="006847F9" w:rsidP="002B5E35">
            <w:r>
              <w:rPr>
                <w:b/>
                <w:bCs/>
                <w:color w:val="1A2A4A"/>
                <w:sz w:val="20"/>
                <w:szCs w:val="20"/>
              </w:rPr>
              <w:t>Day 4</w:t>
            </w:r>
          </w:p>
        </w:tc>
        <w:tc>
          <w:tcPr>
            <w:tcW w:w="1620" w:type="dxa"/>
            <w:tcBorders>
              <w:top w:val="single" w:sz="1" w:space="0" w:color="CBD5E0"/>
              <w:left w:val="single" w:sz="1" w:space="0" w:color="CBD5E0"/>
              <w:bottom w:val="single" w:sz="1" w:space="0" w:color="CBD5E0"/>
              <w:right w:val="single" w:sz="1" w:space="0" w:color="CBD5E0"/>
            </w:tcBorders>
            <w:shd w:val="clear" w:color="auto" w:fill="F7F8FA"/>
            <w:tcMar>
              <w:top w:w="100" w:type="dxa"/>
              <w:left w:w="120" w:type="dxa"/>
              <w:bottom w:w="100" w:type="dxa"/>
              <w:right w:w="100" w:type="dxa"/>
            </w:tcMar>
          </w:tcPr>
          <w:p w:rsidR="006847F9" w:rsidRDefault="006847F9" w:rsidP="002B5E35">
            <w:r>
              <w:rPr>
                <w:b/>
                <w:bCs/>
                <w:color w:val="4A5568"/>
                <w:sz w:val="20"/>
                <w:szCs w:val="20"/>
              </w:rPr>
              <w:t>Buffer Plan</w:t>
            </w:r>
          </w:p>
        </w:tc>
        <w:tc>
          <w:tcPr>
            <w:tcW w:w="6840" w:type="dxa"/>
            <w:tcBorders>
              <w:top w:val="single" w:sz="1" w:space="0" w:color="CBD5E0"/>
              <w:left w:val="single" w:sz="1" w:space="0" w:color="CBD5E0"/>
              <w:bottom w:val="single" w:sz="1" w:space="0" w:color="CBD5E0"/>
              <w:right w:val="single" w:sz="1" w:space="0" w:color="CBD5E0"/>
            </w:tcBorders>
            <w:shd w:val="clear" w:color="auto" w:fill="F7F8FA"/>
            <w:tcMar>
              <w:top w:w="100" w:type="dxa"/>
              <w:left w:w="120" w:type="dxa"/>
              <w:bottom w:w="100" w:type="dxa"/>
              <w:right w:w="100" w:type="dxa"/>
            </w:tcMar>
          </w:tcPr>
          <w:p w:rsidR="006847F9" w:rsidRDefault="006847F9" w:rsidP="002B5E35">
            <w:r>
              <w:rPr>
                <w:color w:val="4A5568"/>
                <w:sz w:val="20"/>
                <w:szCs w:val="20"/>
              </w:rPr>
              <w:t>Open or designate a separate savings account for your financial buffer. Set a target amount (start with $500 if starting from zero).</w:t>
            </w:r>
          </w:p>
        </w:tc>
      </w:tr>
      <w:tr w:rsidR="006847F9" w:rsidTr="002B5E35">
        <w:tblPrEx>
          <w:tblCellMar>
            <w:top w:w="0" w:type="dxa"/>
            <w:bottom w:w="0" w:type="dxa"/>
          </w:tblCellMar>
        </w:tblPrEx>
        <w:tc>
          <w:tcPr>
            <w:tcW w:w="900" w:type="dxa"/>
            <w:tcBorders>
              <w:top w:val="single" w:sz="1" w:space="0" w:color="CBD5E0"/>
              <w:left w:val="single" w:sz="1" w:space="0" w:color="CBD5E0"/>
              <w:bottom w:val="single" w:sz="1" w:space="0" w:color="CBD5E0"/>
              <w:right w:val="single" w:sz="1" w:space="0" w:color="CBD5E0"/>
            </w:tcBorders>
            <w:shd w:val="clear" w:color="auto" w:fill="FFFFFF"/>
            <w:tcMar>
              <w:top w:w="100" w:type="dxa"/>
              <w:left w:w="120" w:type="dxa"/>
              <w:bottom w:w="100" w:type="dxa"/>
              <w:right w:w="100" w:type="dxa"/>
            </w:tcMar>
          </w:tcPr>
          <w:p w:rsidR="006847F9" w:rsidRDefault="006847F9" w:rsidP="002B5E35">
            <w:r>
              <w:rPr>
                <w:b/>
                <w:bCs/>
                <w:color w:val="1A2A4A"/>
                <w:sz w:val="20"/>
                <w:szCs w:val="20"/>
              </w:rPr>
              <w:t>Day 5</w:t>
            </w:r>
          </w:p>
        </w:tc>
        <w:tc>
          <w:tcPr>
            <w:tcW w:w="1620" w:type="dxa"/>
            <w:tcBorders>
              <w:top w:val="single" w:sz="1" w:space="0" w:color="CBD5E0"/>
              <w:left w:val="single" w:sz="1" w:space="0" w:color="CBD5E0"/>
              <w:bottom w:val="single" w:sz="1" w:space="0" w:color="CBD5E0"/>
              <w:right w:val="single" w:sz="1" w:space="0" w:color="CBD5E0"/>
            </w:tcBorders>
            <w:shd w:val="clear" w:color="auto" w:fill="FFFFFF"/>
            <w:tcMar>
              <w:top w:w="100" w:type="dxa"/>
              <w:left w:w="120" w:type="dxa"/>
              <w:bottom w:w="100" w:type="dxa"/>
              <w:right w:w="100" w:type="dxa"/>
            </w:tcMar>
          </w:tcPr>
          <w:p w:rsidR="006847F9" w:rsidRDefault="006847F9" w:rsidP="002B5E35">
            <w:r>
              <w:rPr>
                <w:b/>
                <w:bCs/>
                <w:color w:val="4A5568"/>
                <w:sz w:val="20"/>
                <w:szCs w:val="20"/>
              </w:rPr>
              <w:t>Income Review</w:t>
            </w:r>
          </w:p>
        </w:tc>
        <w:tc>
          <w:tcPr>
            <w:tcW w:w="6840" w:type="dxa"/>
            <w:tcBorders>
              <w:top w:val="single" w:sz="1" w:space="0" w:color="CBD5E0"/>
              <w:left w:val="single" w:sz="1" w:space="0" w:color="CBD5E0"/>
              <w:bottom w:val="single" w:sz="1" w:space="0" w:color="CBD5E0"/>
              <w:right w:val="single" w:sz="1" w:space="0" w:color="CBD5E0"/>
            </w:tcBorders>
            <w:shd w:val="clear" w:color="auto" w:fill="FFFFFF"/>
            <w:tcMar>
              <w:top w:w="100" w:type="dxa"/>
              <w:left w:w="120" w:type="dxa"/>
              <w:bottom w:w="100" w:type="dxa"/>
              <w:right w:w="100" w:type="dxa"/>
            </w:tcMar>
          </w:tcPr>
          <w:p w:rsidR="006847F9" w:rsidRDefault="006847F9" w:rsidP="002B5E35">
            <w:r>
              <w:rPr>
                <w:color w:val="4A5568"/>
                <w:sz w:val="20"/>
                <w:szCs w:val="20"/>
              </w:rPr>
              <w:t>Evaluate whether your current income is sufficient, stagnant, or declining. Identify one realistic option to add or stabilize income.</w:t>
            </w:r>
          </w:p>
        </w:tc>
      </w:tr>
      <w:tr w:rsidR="006847F9" w:rsidTr="002B5E35">
        <w:tblPrEx>
          <w:tblCellMar>
            <w:top w:w="0" w:type="dxa"/>
            <w:bottom w:w="0" w:type="dxa"/>
          </w:tblCellMar>
        </w:tblPrEx>
        <w:tc>
          <w:tcPr>
            <w:tcW w:w="900" w:type="dxa"/>
            <w:tcBorders>
              <w:top w:val="single" w:sz="1" w:space="0" w:color="CBD5E0"/>
              <w:left w:val="single" w:sz="1" w:space="0" w:color="CBD5E0"/>
              <w:bottom w:val="single" w:sz="1" w:space="0" w:color="CBD5E0"/>
              <w:right w:val="single" w:sz="1" w:space="0" w:color="CBD5E0"/>
            </w:tcBorders>
            <w:shd w:val="clear" w:color="auto" w:fill="F7F8FA"/>
            <w:tcMar>
              <w:top w:w="100" w:type="dxa"/>
              <w:left w:w="120" w:type="dxa"/>
              <w:bottom w:w="100" w:type="dxa"/>
              <w:right w:w="100" w:type="dxa"/>
            </w:tcMar>
          </w:tcPr>
          <w:p w:rsidR="006847F9" w:rsidRDefault="006847F9" w:rsidP="002B5E35">
            <w:r>
              <w:rPr>
                <w:b/>
                <w:bCs/>
                <w:color w:val="1A2A4A"/>
                <w:sz w:val="20"/>
                <w:szCs w:val="20"/>
              </w:rPr>
              <w:t>Day 6</w:t>
            </w:r>
          </w:p>
        </w:tc>
        <w:tc>
          <w:tcPr>
            <w:tcW w:w="1620" w:type="dxa"/>
            <w:tcBorders>
              <w:top w:val="single" w:sz="1" w:space="0" w:color="CBD5E0"/>
              <w:left w:val="single" w:sz="1" w:space="0" w:color="CBD5E0"/>
              <w:bottom w:val="single" w:sz="1" w:space="0" w:color="CBD5E0"/>
              <w:right w:val="single" w:sz="1" w:space="0" w:color="CBD5E0"/>
            </w:tcBorders>
            <w:shd w:val="clear" w:color="auto" w:fill="F7F8FA"/>
            <w:tcMar>
              <w:top w:w="100" w:type="dxa"/>
              <w:left w:w="120" w:type="dxa"/>
              <w:bottom w:w="100" w:type="dxa"/>
              <w:right w:w="100" w:type="dxa"/>
            </w:tcMar>
          </w:tcPr>
          <w:p w:rsidR="006847F9" w:rsidRDefault="006847F9" w:rsidP="002B5E35">
            <w:r>
              <w:rPr>
                <w:b/>
                <w:bCs/>
                <w:color w:val="4A5568"/>
                <w:sz w:val="20"/>
                <w:szCs w:val="20"/>
              </w:rPr>
              <w:t>Debt Map</w:t>
            </w:r>
          </w:p>
        </w:tc>
        <w:tc>
          <w:tcPr>
            <w:tcW w:w="6840" w:type="dxa"/>
            <w:tcBorders>
              <w:top w:val="single" w:sz="1" w:space="0" w:color="CBD5E0"/>
              <w:left w:val="single" w:sz="1" w:space="0" w:color="CBD5E0"/>
              <w:bottom w:val="single" w:sz="1" w:space="0" w:color="CBD5E0"/>
              <w:right w:val="single" w:sz="1" w:space="0" w:color="CBD5E0"/>
            </w:tcBorders>
            <w:shd w:val="clear" w:color="auto" w:fill="F7F8FA"/>
            <w:tcMar>
              <w:top w:w="100" w:type="dxa"/>
              <w:left w:w="120" w:type="dxa"/>
              <w:bottom w:w="100" w:type="dxa"/>
              <w:right w:w="100" w:type="dxa"/>
            </w:tcMar>
          </w:tcPr>
          <w:p w:rsidR="006847F9" w:rsidRDefault="006847F9" w:rsidP="002B5E35">
            <w:r>
              <w:rPr>
                <w:color w:val="4A5568"/>
                <w:sz w:val="20"/>
                <w:szCs w:val="20"/>
              </w:rPr>
              <w:t>List all debts with balances, interest rates, and minimum payments. Identify which debt is most damaging to your financial position.</w:t>
            </w:r>
          </w:p>
        </w:tc>
      </w:tr>
      <w:tr w:rsidR="006847F9" w:rsidTr="002B5E35">
        <w:tblPrEx>
          <w:tblCellMar>
            <w:top w:w="0" w:type="dxa"/>
            <w:bottom w:w="0" w:type="dxa"/>
          </w:tblCellMar>
        </w:tblPrEx>
        <w:tc>
          <w:tcPr>
            <w:tcW w:w="900" w:type="dxa"/>
            <w:tcBorders>
              <w:top w:val="single" w:sz="1" w:space="0" w:color="CBD5E0"/>
              <w:left w:val="single" w:sz="1" w:space="0" w:color="CBD5E0"/>
              <w:bottom w:val="single" w:sz="1" w:space="0" w:color="CBD5E0"/>
              <w:right w:val="single" w:sz="1" w:space="0" w:color="CBD5E0"/>
            </w:tcBorders>
            <w:shd w:val="clear" w:color="auto" w:fill="FFFFFF"/>
            <w:tcMar>
              <w:top w:w="100" w:type="dxa"/>
              <w:left w:w="120" w:type="dxa"/>
              <w:bottom w:w="100" w:type="dxa"/>
              <w:right w:w="100" w:type="dxa"/>
            </w:tcMar>
          </w:tcPr>
          <w:p w:rsidR="006847F9" w:rsidRDefault="006847F9" w:rsidP="002B5E35">
            <w:r>
              <w:rPr>
                <w:b/>
                <w:bCs/>
                <w:color w:val="1A2A4A"/>
                <w:sz w:val="20"/>
                <w:szCs w:val="20"/>
              </w:rPr>
              <w:t>Day 7</w:t>
            </w:r>
          </w:p>
        </w:tc>
        <w:tc>
          <w:tcPr>
            <w:tcW w:w="1620" w:type="dxa"/>
            <w:tcBorders>
              <w:top w:val="single" w:sz="1" w:space="0" w:color="CBD5E0"/>
              <w:left w:val="single" w:sz="1" w:space="0" w:color="CBD5E0"/>
              <w:bottom w:val="single" w:sz="1" w:space="0" w:color="CBD5E0"/>
              <w:right w:val="single" w:sz="1" w:space="0" w:color="CBD5E0"/>
            </w:tcBorders>
            <w:shd w:val="clear" w:color="auto" w:fill="FFFFFF"/>
            <w:tcMar>
              <w:top w:w="100" w:type="dxa"/>
              <w:left w:w="120" w:type="dxa"/>
              <w:bottom w:w="100" w:type="dxa"/>
              <w:right w:w="100" w:type="dxa"/>
            </w:tcMar>
          </w:tcPr>
          <w:p w:rsidR="006847F9" w:rsidRDefault="006847F9" w:rsidP="002B5E35">
            <w:r>
              <w:rPr>
                <w:b/>
                <w:bCs/>
                <w:color w:val="4A5568"/>
                <w:sz w:val="20"/>
                <w:szCs w:val="20"/>
              </w:rPr>
              <w:t>Positioning Decision</w:t>
            </w:r>
          </w:p>
        </w:tc>
        <w:tc>
          <w:tcPr>
            <w:tcW w:w="6840" w:type="dxa"/>
            <w:tcBorders>
              <w:top w:val="single" w:sz="1" w:space="0" w:color="CBD5E0"/>
              <w:left w:val="single" w:sz="1" w:space="0" w:color="CBD5E0"/>
              <w:bottom w:val="single" w:sz="1" w:space="0" w:color="CBD5E0"/>
              <w:right w:val="single" w:sz="1" w:space="0" w:color="CBD5E0"/>
            </w:tcBorders>
            <w:shd w:val="clear" w:color="auto" w:fill="FFFFFF"/>
            <w:tcMar>
              <w:top w:w="100" w:type="dxa"/>
              <w:left w:w="120" w:type="dxa"/>
              <w:bottom w:w="100" w:type="dxa"/>
              <w:right w:w="100" w:type="dxa"/>
            </w:tcMar>
          </w:tcPr>
          <w:p w:rsidR="006847F9" w:rsidRDefault="006847F9" w:rsidP="002B5E35">
            <w:r>
              <w:rPr>
                <w:color w:val="4A5568"/>
                <w:sz w:val="20"/>
                <w:szCs w:val="20"/>
              </w:rPr>
              <w:t>Based on your audit, write one clear financial objective for the next 90 days. Make it specific, measurable, and tied to your position level.</w:t>
            </w:r>
          </w:p>
        </w:tc>
      </w:tr>
    </w:tbl>
    <w:p w:rsidR="00221E8C" w:rsidRDefault="00221E8C">
      <w:pPr>
        <w:spacing w:before="120" w:after="120"/>
      </w:pPr>
    </w:p>
    <w:p w:rsidR="00221E8C" w:rsidRDefault="009B1883">
      <w:r>
        <w:br w:type="page"/>
      </w:r>
    </w:p>
    <w:p w:rsidR="00221E8C" w:rsidRDefault="009B1883">
      <w:pPr>
        <w:pStyle w:val="Heading1"/>
      </w:pPr>
      <w:r>
        <w:lastRenderedPageBreak/>
        <w:t>07  |  Closing</w:t>
      </w:r>
    </w:p>
    <w:p w:rsidR="00221E8C" w:rsidRDefault="00221E8C">
      <w:pPr>
        <w:pBdr>
          <w:bottom w:val="single" w:sz="8" w:space="1" w:color="1A4A2E"/>
        </w:pBdr>
        <w:spacing w:after="240"/>
      </w:pPr>
    </w:p>
    <w:p w:rsidR="00221E8C" w:rsidRDefault="009B1883">
      <w:pPr>
        <w:spacing w:before="60" w:after="120"/>
      </w:pPr>
      <w:r>
        <w:rPr>
          <w:color w:val="2D3748"/>
        </w:rPr>
        <w:t>Financial strength is not built by income alone. It is built by structure.</w:t>
      </w:r>
    </w:p>
    <w:p w:rsidR="00221E8C" w:rsidRDefault="00221E8C">
      <w:pPr>
        <w:spacing w:before="40" w:after="40"/>
      </w:pPr>
    </w:p>
    <w:p w:rsidR="00221E8C" w:rsidRDefault="009B1883">
      <w:pPr>
        <w:spacing w:before="60" w:after="120"/>
      </w:pPr>
      <w:r>
        <w:rPr>
          <w:color w:val="2D3748"/>
        </w:rPr>
        <w:t>Income without structure produces a lifestyle, not security. Structure without growth produces safety, not wealth. The goal is to build both in sequence: first stabilize, then grow</w:t>
      </w:r>
      <w:r>
        <w:rPr>
          <w:color w:val="2D3748"/>
        </w:rPr>
        <w:t>, then protect.</w:t>
      </w:r>
    </w:p>
    <w:p w:rsidR="00221E8C" w:rsidRDefault="009B1883">
      <w:pPr>
        <w:spacing w:before="60" w:after="120"/>
      </w:pPr>
      <w:r>
        <w:rPr>
          <w:color w:val="2D3748"/>
        </w:rPr>
        <w:t>Every position described in this document is changeable. The Economically Exposed can become Pressured with one month of focused structural action. The Pressured can become Positioned within a quarter. The Positioned can reach Stability wit</w:t>
      </w:r>
      <w:r>
        <w:rPr>
          <w:color w:val="2D3748"/>
        </w:rPr>
        <w:t>hin a year of consistent application. The Stable can build lasting wealth by maintaining discipline and expanding intelligently.</w:t>
      </w:r>
    </w:p>
    <w:p w:rsidR="00221E8C" w:rsidRDefault="009B1883">
      <w:pPr>
        <w:spacing w:before="60" w:after="120"/>
      </w:pPr>
      <w:r>
        <w:rPr>
          <w:color w:val="2D3748"/>
        </w:rPr>
        <w:t>The steps in this document are not aspirational. They are operational. They do not require extraordinary income, perfect timing, or complex financial instruments. They require clarity, consistency, and the decision to treat your finances as a system that c</w:t>
      </w:r>
      <w:r>
        <w:rPr>
          <w:color w:val="2D3748"/>
        </w:rPr>
        <w:t>an be improved rather than a circumstance that must be endured.</w:t>
      </w:r>
    </w:p>
    <w:p w:rsidR="00221E8C" w:rsidRDefault="00221E8C">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221E8C">
        <w:tblPrEx>
          <w:tblCellMar>
            <w:top w:w="0" w:type="dxa"/>
            <w:bottom w:w="0" w:type="dxa"/>
          </w:tblCellMar>
        </w:tblPrEx>
        <w:tc>
          <w:tcPr>
            <w:tcW w:w="9360" w:type="dxa"/>
            <w:tcBorders>
              <w:top w:val="single" w:sz="8" w:space="0" w:color="1A4A2E"/>
              <w:left w:val="none" w:sz="0" w:space="0" w:color="FFFFFF"/>
              <w:bottom w:val="single" w:sz="8" w:space="0" w:color="1A4A2E"/>
              <w:right w:val="none" w:sz="0" w:space="0" w:color="FFFFFF"/>
            </w:tcBorders>
            <w:shd w:val="clear" w:color="auto" w:fill="F7F8FA"/>
            <w:tcMar>
              <w:top w:w="240" w:type="dxa"/>
              <w:left w:w="360" w:type="dxa"/>
              <w:bottom w:w="240" w:type="dxa"/>
              <w:right w:w="360" w:type="dxa"/>
            </w:tcMar>
          </w:tcPr>
          <w:p w:rsidR="00221E8C" w:rsidRDefault="009B1883">
            <w:pPr>
              <w:spacing w:after="80"/>
              <w:jc w:val="center"/>
            </w:pPr>
            <w:r>
              <w:rPr>
                <w:b/>
                <w:bCs/>
                <w:color w:val="0D1F2D"/>
                <w:sz w:val="26"/>
                <w:szCs w:val="26"/>
              </w:rPr>
              <w:t>Your next step is not a goal. It is a decision.</w:t>
            </w:r>
          </w:p>
          <w:p w:rsidR="00221E8C" w:rsidRDefault="009B1883">
            <w:pPr>
              <w:jc w:val="center"/>
            </w:pPr>
            <w:r>
              <w:rPr>
                <w:color w:val="4A5568"/>
              </w:rPr>
              <w:t>Make it today. Review it in 30 days. Adjust and continue.</w:t>
            </w:r>
          </w:p>
        </w:tc>
      </w:tr>
    </w:tbl>
    <w:p w:rsidR="00221E8C" w:rsidRDefault="00221E8C">
      <w:pPr>
        <w:spacing w:before="80" w:after="80"/>
      </w:pPr>
    </w:p>
    <w:p w:rsidR="00221E8C" w:rsidRDefault="009B1883">
      <w:pPr>
        <w:spacing w:before="80" w:after="40"/>
        <w:jc w:val="center"/>
      </w:pPr>
      <w:r>
        <w:rPr>
          <w:b/>
          <w:bCs/>
          <w:color w:val="718096"/>
        </w:rPr>
        <w:t>The Peoples Economy</w:t>
      </w:r>
    </w:p>
    <w:p w:rsidR="00221E8C" w:rsidRDefault="009B1883">
      <w:pPr>
        <w:jc w:val="center"/>
      </w:pPr>
      <w:r>
        <w:rPr>
          <w:color w:val="718096"/>
          <w:sz w:val="20"/>
          <w:szCs w:val="20"/>
        </w:rPr>
        <w:t>Financial Repositioning Plan  |  Premium Edition</w:t>
      </w:r>
    </w:p>
    <w:sectPr w:rsidR="00221E8C">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1883" w:rsidRDefault="009B1883">
      <w:r>
        <w:separator/>
      </w:r>
    </w:p>
  </w:endnote>
  <w:endnote w:type="continuationSeparator" w:id="0">
    <w:p w:rsidR="009B1883" w:rsidRDefault="009B1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1E8C" w:rsidRDefault="009B1883">
    <w:pPr>
      <w:pBdr>
        <w:top w:val="single" w:sz="4" w:space="1" w:color="E2E8F0"/>
      </w:pBdr>
      <w:spacing w:before="120"/>
      <w:jc w:val="center"/>
    </w:pPr>
    <w:r>
      <w:rPr>
        <w:color w:val="718096"/>
        <w:sz w:val="18"/>
        <w:szCs w:val="18"/>
      </w:rPr>
      <w:t xml:space="preserve">Financial Repositioning Plan  |  The Peoples Economy  |  Page </w:t>
    </w:r>
    <w:r>
      <w:rPr>
        <w:color w:val="718096"/>
        <w:sz w:val="18"/>
        <w:szCs w:val="18"/>
      </w:rPr>
      <w:fldChar w:fldCharType="begin"/>
    </w:r>
    <w:r>
      <w:rPr>
        <w:color w:val="718096"/>
        <w:sz w:val="18"/>
        <w:szCs w:val="18"/>
      </w:rPr>
      <w:instrText>PAGE</w:instrText>
    </w:r>
    <w:r w:rsidR="006847F9">
      <w:rPr>
        <w:color w:val="718096"/>
        <w:sz w:val="18"/>
        <w:szCs w:val="18"/>
      </w:rPr>
      <w:fldChar w:fldCharType="separate"/>
    </w:r>
    <w:r w:rsidR="006847F9">
      <w:rPr>
        <w:noProof/>
        <w:color w:val="718096"/>
        <w:sz w:val="18"/>
        <w:szCs w:val="18"/>
      </w:rPr>
      <w:t>9</w:t>
    </w:r>
    <w:r>
      <w:rPr>
        <w:color w:val="718096"/>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1883" w:rsidRDefault="009B1883">
      <w:r>
        <w:separator/>
      </w:r>
    </w:p>
  </w:footnote>
  <w:footnote w:type="continuationSeparator" w:id="0">
    <w:p w:rsidR="009B1883" w:rsidRDefault="009B18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B62290"/>
    <w:multiLevelType w:val="hybridMultilevel"/>
    <w:tmpl w:val="33A6DDB6"/>
    <w:lvl w:ilvl="0" w:tplc="0DDE5ECC">
      <w:start w:val="1"/>
      <w:numFmt w:val="decimal"/>
      <w:lvlText w:val="%1."/>
      <w:lvlJc w:val="left"/>
      <w:pPr>
        <w:ind w:left="600" w:hanging="300"/>
      </w:pPr>
    </w:lvl>
    <w:lvl w:ilvl="1" w:tplc="13BA25B0">
      <w:numFmt w:val="decimal"/>
      <w:lvlText w:val=""/>
      <w:lvlJc w:val="left"/>
    </w:lvl>
    <w:lvl w:ilvl="2" w:tplc="5A527FAC">
      <w:numFmt w:val="decimal"/>
      <w:lvlText w:val=""/>
      <w:lvlJc w:val="left"/>
    </w:lvl>
    <w:lvl w:ilvl="3" w:tplc="761EEBBE">
      <w:numFmt w:val="decimal"/>
      <w:lvlText w:val=""/>
      <w:lvlJc w:val="left"/>
    </w:lvl>
    <w:lvl w:ilvl="4" w:tplc="8A3248A6">
      <w:numFmt w:val="decimal"/>
      <w:lvlText w:val=""/>
      <w:lvlJc w:val="left"/>
    </w:lvl>
    <w:lvl w:ilvl="5" w:tplc="5BCC0966">
      <w:numFmt w:val="decimal"/>
      <w:lvlText w:val=""/>
      <w:lvlJc w:val="left"/>
    </w:lvl>
    <w:lvl w:ilvl="6" w:tplc="0A4ED472">
      <w:numFmt w:val="decimal"/>
      <w:lvlText w:val=""/>
      <w:lvlJc w:val="left"/>
    </w:lvl>
    <w:lvl w:ilvl="7" w:tplc="C7A6BD9C">
      <w:numFmt w:val="decimal"/>
      <w:lvlText w:val=""/>
      <w:lvlJc w:val="left"/>
    </w:lvl>
    <w:lvl w:ilvl="8" w:tplc="8F121F52">
      <w:numFmt w:val="decimal"/>
      <w:lvlText w:val=""/>
      <w:lvlJc w:val="left"/>
    </w:lvl>
  </w:abstractNum>
  <w:abstractNum w:abstractNumId="1" w15:restartNumberingAfterBreak="0">
    <w:nsid w:val="214878B8"/>
    <w:multiLevelType w:val="hybridMultilevel"/>
    <w:tmpl w:val="DFC4F36A"/>
    <w:lvl w:ilvl="0" w:tplc="C664A630">
      <w:start w:val="1"/>
      <w:numFmt w:val="bullet"/>
      <w:lvlText w:val="•"/>
      <w:lvlJc w:val="left"/>
      <w:pPr>
        <w:ind w:left="600" w:hanging="300"/>
      </w:pPr>
    </w:lvl>
    <w:lvl w:ilvl="1" w:tplc="FB545D96">
      <w:numFmt w:val="decimal"/>
      <w:lvlText w:val=""/>
      <w:lvlJc w:val="left"/>
    </w:lvl>
    <w:lvl w:ilvl="2" w:tplc="B0A8AAD4">
      <w:numFmt w:val="decimal"/>
      <w:lvlText w:val=""/>
      <w:lvlJc w:val="left"/>
    </w:lvl>
    <w:lvl w:ilvl="3" w:tplc="0F988A06">
      <w:numFmt w:val="decimal"/>
      <w:lvlText w:val=""/>
      <w:lvlJc w:val="left"/>
    </w:lvl>
    <w:lvl w:ilvl="4" w:tplc="7424E5A8">
      <w:numFmt w:val="decimal"/>
      <w:lvlText w:val=""/>
      <w:lvlJc w:val="left"/>
    </w:lvl>
    <w:lvl w:ilvl="5" w:tplc="061841A8">
      <w:numFmt w:val="decimal"/>
      <w:lvlText w:val=""/>
      <w:lvlJc w:val="left"/>
    </w:lvl>
    <w:lvl w:ilvl="6" w:tplc="24427F0C">
      <w:numFmt w:val="decimal"/>
      <w:lvlText w:val=""/>
      <w:lvlJc w:val="left"/>
    </w:lvl>
    <w:lvl w:ilvl="7" w:tplc="4C1E9640">
      <w:numFmt w:val="decimal"/>
      <w:lvlText w:val=""/>
      <w:lvlJc w:val="left"/>
    </w:lvl>
    <w:lvl w:ilvl="8" w:tplc="B164DD02">
      <w:numFmt w:val="decimal"/>
      <w:lvlText w:val=""/>
      <w:lvlJc w:val="left"/>
    </w:lvl>
  </w:abstractNum>
  <w:abstractNum w:abstractNumId="2" w15:restartNumberingAfterBreak="0">
    <w:nsid w:val="775952D0"/>
    <w:multiLevelType w:val="hybridMultilevel"/>
    <w:tmpl w:val="52E8F684"/>
    <w:lvl w:ilvl="0" w:tplc="EC56378E">
      <w:start w:val="1"/>
      <w:numFmt w:val="bullet"/>
      <w:lvlText w:val="●"/>
      <w:lvlJc w:val="left"/>
      <w:pPr>
        <w:ind w:left="720" w:hanging="360"/>
      </w:pPr>
    </w:lvl>
    <w:lvl w:ilvl="1" w:tplc="9CEA6ADC">
      <w:start w:val="1"/>
      <w:numFmt w:val="bullet"/>
      <w:lvlText w:val="○"/>
      <w:lvlJc w:val="left"/>
      <w:pPr>
        <w:ind w:left="1440" w:hanging="360"/>
      </w:pPr>
    </w:lvl>
    <w:lvl w:ilvl="2" w:tplc="0E48547E">
      <w:start w:val="1"/>
      <w:numFmt w:val="bullet"/>
      <w:lvlText w:val="■"/>
      <w:lvlJc w:val="left"/>
      <w:pPr>
        <w:ind w:left="2160" w:hanging="360"/>
      </w:pPr>
    </w:lvl>
    <w:lvl w:ilvl="3" w:tplc="C8504B20">
      <w:start w:val="1"/>
      <w:numFmt w:val="bullet"/>
      <w:lvlText w:val="●"/>
      <w:lvlJc w:val="left"/>
      <w:pPr>
        <w:ind w:left="2880" w:hanging="360"/>
      </w:pPr>
    </w:lvl>
    <w:lvl w:ilvl="4" w:tplc="8474C3E2">
      <w:start w:val="1"/>
      <w:numFmt w:val="bullet"/>
      <w:lvlText w:val="○"/>
      <w:lvlJc w:val="left"/>
      <w:pPr>
        <w:ind w:left="3600" w:hanging="360"/>
      </w:pPr>
    </w:lvl>
    <w:lvl w:ilvl="5" w:tplc="6E367D6A">
      <w:start w:val="1"/>
      <w:numFmt w:val="bullet"/>
      <w:lvlText w:val="■"/>
      <w:lvlJc w:val="left"/>
      <w:pPr>
        <w:ind w:left="4320" w:hanging="360"/>
      </w:pPr>
    </w:lvl>
    <w:lvl w:ilvl="6" w:tplc="C2C6AC50">
      <w:start w:val="1"/>
      <w:numFmt w:val="bullet"/>
      <w:lvlText w:val="●"/>
      <w:lvlJc w:val="left"/>
      <w:pPr>
        <w:ind w:left="5040" w:hanging="360"/>
      </w:pPr>
    </w:lvl>
    <w:lvl w:ilvl="7" w:tplc="EAFE9A00">
      <w:start w:val="1"/>
      <w:numFmt w:val="bullet"/>
      <w:lvlText w:val="●"/>
      <w:lvlJc w:val="left"/>
      <w:pPr>
        <w:ind w:left="5760" w:hanging="360"/>
      </w:pPr>
    </w:lvl>
    <w:lvl w:ilvl="8" w:tplc="90021BD0">
      <w:start w:val="1"/>
      <w:numFmt w:val="bullet"/>
      <w:lvlText w:val="●"/>
      <w:lvlJc w:val="left"/>
      <w:pPr>
        <w:ind w:left="6480" w:hanging="360"/>
      </w:pPr>
    </w:lvl>
  </w:abstractNum>
  <w:num w:numId="1">
    <w:abstractNumId w:val="2"/>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E8C"/>
    <w:rsid w:val="00221E8C"/>
    <w:rsid w:val="006847F9"/>
    <w:rsid w:val="009B18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184CCA-C006-4F3D-86AC-5897B23B4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spacing w:before="320" w:after="160"/>
      <w:outlineLvl w:val="0"/>
    </w:pPr>
    <w:rPr>
      <w:b/>
      <w:bCs/>
      <w:color w:val="0D1F2D"/>
      <w:sz w:val="28"/>
      <w:szCs w:val="28"/>
    </w:rPr>
  </w:style>
  <w:style w:type="paragraph" w:styleId="Heading2">
    <w:name w:val="heading 2"/>
    <w:qFormat/>
    <w:pPr>
      <w:spacing w:before="240" w:after="120"/>
      <w:outlineLvl w:val="1"/>
    </w:pPr>
    <w:rPr>
      <w:b/>
      <w:bCs/>
      <w:color w:val="1A3A4A"/>
      <w:sz w:val="24"/>
      <w:szCs w:val="24"/>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2136</Words>
  <Characters>12181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account</cp:lastModifiedBy>
  <cp:revision>2</cp:revision>
  <dcterms:created xsi:type="dcterms:W3CDTF">2026-04-02T04:20:00Z</dcterms:created>
  <dcterms:modified xsi:type="dcterms:W3CDTF">2026-04-02T04:20:00Z</dcterms:modified>
</cp:coreProperties>
</file>