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32"/>
          <w:szCs w:val="32"/>
        </w:rPr>
        <w:t xml:space="preserve">Congress’s Power to Investigate and Its Limits</w:t>
      </w:r>
    </w:p>
    <w:p>
      <w:pPr>
        <w:jc w:val="center"/>
      </w:pPr>
      <w:r>
        <w:rPr>
          <w:i/>
          <w:iCs/>
        </w:rPr>
        <w:t xml:space="preserve">A Lecture for Law Students — Separation of Powers Seminar</w:t>
      </w:r>
    </w:p>
    <w:p>
      <w:pPr>
        <w:spacing w:after="320"/>
        <w:jc w:val="center"/>
      </w:pPr>
      <w:r>
        <w:rPr>
          <w:i/>
          <w:iCs/>
        </w:rPr>
        <w:t xml:space="preserve">University of Houston Law Center</w:t>
      </w:r>
    </w:p>
    <w:p>
      <w:pPr>
        <w:pStyle w:val="Heading1"/>
      </w:pPr>
      <w:r>
        <w:t xml:space="preserve">Introduction: The Power That Isn’t in the Text</w:t>
      </w:r>
    </w:p>
    <w:p>
      <w:r>
        <w:t xml:space="preserve">Open your pocket Constitution to Article I and search for the words “investigate,” “subpoena,” or “oversight.” You will not find them. Yet congressional investigations have shaped American history as much as any statute: Teapot Dome, the Kefauver crime hearings, McCarthyism, Watergate, Iran-Contra, the Benghazi inquiry, and the Trump-era subpoena battles. Today’s lecture asks three questions. Where does the investigative power come from? What limits does the law place on it? And what happens when Congress turns that power on the executive branch, a coequal branch with its own constitutional prerogatives?</w:t>
      </w:r>
    </w:p>
    <w:p>
      <w:r>
        <w:t xml:space="preserve">Here is the thesis to keep in mind throughout. The investigative power is </w:t>
      </w:r>
      <w:r>
        <w:rPr>
          <w:b/>
          <w:bCs/>
        </w:rPr>
        <w:t xml:space="preserve">broad, implied, and largely self-policed</w:t>
      </w:r>
      <w:r>
        <w:t xml:space="preserve">. Courts have intervened rarely, and mostly to protect private individuals. Disputes between Congress and the President have historically been settled by negotiation and political leverage, not litigation. Only in 2020, in </w:t>
      </w:r>
      <w:r>
        <w:rPr>
          <w:i/>
          <w:iCs/>
        </w:rPr>
        <w:t xml:space="preserve">Trump v. Mazars USA, LLP</w:t>
      </w:r>
      <w:r>
        <w:t xml:space="preserve">, did the Supreme Court decide an interbranch investigative dispute directly, and even there it treated the case with caution.</w:t>
      </w:r>
    </w:p>
    <w:p>
      <w:pPr>
        <w:pStyle w:val="Heading1"/>
      </w:pPr>
      <w:r>
        <w:t xml:space="preserve">Part I: The Source of the Power</w:t>
      </w:r>
    </w:p>
    <w:p>
      <w:pPr>
        <w:pStyle w:val="Heading2"/>
      </w:pPr>
      <w:r>
        <w:t xml:space="preserve">A Power Implied from “Legislative Powers”</w:t>
      </w:r>
    </w:p>
    <w:p>
      <w:r>
        <w:t xml:space="preserve">The Supreme Court has located the investigative power in Article I’s vesting of “legislative Powers” in Congress, reinforced by the Necessary and Proper Clause. The logic is functional. A legislature cannot legislate wisely without information, and it cannot depend on volunteers to supply that information. The power to gather facts, and to compel them, is therefore treated as an inherent attribute of a legislative body. This reasoning drew heavily on the practice of the British Parliament and the colonial and early state legislatures, which routinely conducted inquiries.</w:t>
      </w:r>
    </w:p>
    <w:p>
      <w:r>
        <w:t xml:space="preserve">Congress itself did not wait for the courts. In 1792 the House investigated General Arthur St. Clair’s disastrous defeat by a confederation of Native American nations, and requested documents from the Washington Administration. Washington’s cabinet concluded that the House could make such inquiries but that the President could withhold papers whose disclosure would injure the public. Notice that both halves of the modern debate, congressional inquiry and executive confidentiality, appear in the very first major investigation.</w:t>
      </w:r>
    </w:p>
    <w:p>
      <w:pPr>
        <w:pStyle w:val="Heading2"/>
      </w:pPr>
      <w:r>
        <w:t xml:space="preserve">Kilbourn v. Thompson (1881): The First Limit</w:t>
      </w:r>
    </w:p>
    <w:p>
      <w:r>
        <w:t xml:space="preserve">The Supreme Court’s first important encounter with the power came in </w:t>
      </w:r>
      <w:r>
        <w:rPr>
          <w:i/>
          <w:iCs/>
        </w:rPr>
        <w:t xml:space="preserve">Kilbourn v. Thompson</w:t>
      </w:r>
      <w:r>
        <w:t xml:space="preserve">. The House had investigated a failed real estate pool connected to Jay Cooke &amp; Co., a bankrupt firm that owed money to the United States. When Hallet Kilbourn refused to answer questions, the House jailed him for contempt. The Court held the House had exceeded its authority. The inquiry, it reasoned, was into private business dealings that were already the subject of a pending bankruptcy proceeding; it was “in its nature clearly judicial,” and no legislation could result from it. </w:t>
      </w:r>
      <w:r>
        <w:rPr>
          <w:i/>
          <w:iCs/>
        </w:rPr>
        <w:t xml:space="preserve">Kilbourn</w:t>
      </w:r>
      <w:r>
        <w:t xml:space="preserve"> thus introduced the idea that has defined the field ever since: an investigation must serve a </w:t>
      </w:r>
      <w:r>
        <w:rPr>
          <w:b/>
          <w:bCs/>
        </w:rPr>
        <w:t xml:space="preserve">legislative purpose</w:t>
      </w:r>
      <w:r>
        <w:t xml:space="preserve">.</w:t>
      </w:r>
    </w:p>
    <w:p>
      <w:pPr>
        <w:pStyle w:val="Heading2"/>
      </w:pPr>
      <w:r>
        <w:t xml:space="preserve">McGrain v. Daugherty (1927): The Power Confirmed</w:t>
      </w:r>
    </w:p>
    <w:p>
      <w:r>
        <w:t xml:space="preserve">The modern foundation is </w:t>
      </w:r>
      <w:r>
        <w:rPr>
          <w:i/>
          <w:iCs/>
        </w:rPr>
        <w:t xml:space="preserve">McGrain v. Daugherty</w:t>
      </w:r>
      <w:r>
        <w:t xml:space="preserve">, a product of the Teapot Dome scandal. The Senate was investigating whether Attorney General Harry Daugherty had failed to prosecute wrongdoers. When his brother, Mally Daugherty, an Ohio banker, refused to comply with a subpoena, the Senate had him arrested. The Supreme Court upheld the arrest, declaring that “the power of inquiry—with process to enforce it—is an essential and appropriate auxiliary to the legislative function.”</w:t>
      </w:r>
    </w:p>
    <w:p>
      <w:r>
        <w:t xml:space="preserve">Two features of </w:t>
      </w:r>
      <w:r>
        <w:rPr>
          <w:i/>
          <w:iCs/>
        </w:rPr>
        <w:t xml:space="preserve">McGrain</w:t>
      </w:r>
      <w:r>
        <w:t xml:space="preserve"> matter enormously. First, the Court did not require the Senate to state an explicit legislative goal; it was enough that the subject under investigation was one “on which legislation could be had,” and the Court presumed a legislative purpose. Second, the subject was the </w:t>
      </w:r>
      <w:r>
        <w:rPr>
          <w:b/>
          <w:bCs/>
        </w:rPr>
        <w:t xml:space="preserve">executive branch itself</w:t>
      </w:r>
      <w:r>
        <w:t xml:space="preserve">, specifically the administration of the Department of Justice. </w:t>
      </w:r>
      <w:r>
        <w:rPr>
          <w:i/>
          <w:iCs/>
        </w:rPr>
        <w:t xml:space="preserve">McGrain</w:t>
      </w:r>
      <w:r>
        <w:t xml:space="preserve"> is the historic high-water mark of judicial support for congressional inquiry, and it confirms that oversight of how executive officers administer the laws lies at the core of the power.</w:t>
      </w:r>
    </w:p>
    <w:p>
      <w:r>
        <w:rPr>
          <w:i/>
          <w:iCs/>
        </w:rPr>
        <w:t xml:space="preserve">Sinclair v. United States</w:t>
      </w:r>
      <w:r>
        <w:t xml:space="preserve"> (1929), also from Teapot Dome, added that Congress may pursue information relevant to legislation even if the information might also bear on pending litigation or reveal a crime. Congress does not lose its power simply because a court or prosecutor might also be interested.</w:t>
      </w:r>
    </w:p>
    <w:p>
      <w:pPr>
        <w:pStyle w:val="Heading2"/>
      </w:pPr>
      <w:r>
        <w:t xml:space="preserve">Watkins and Barenblatt: The Cold War Cases</w:t>
      </w:r>
    </w:p>
    <w:p>
      <w:r>
        <w:t xml:space="preserve">The 1950s produced the most rights-focused decisions, largely arising from the House Un-American Activities Committee (HUAC). In </w:t>
      </w:r>
      <w:r>
        <w:rPr>
          <w:i/>
          <w:iCs/>
        </w:rPr>
        <w:t xml:space="preserve">Watkins v. United States</w:t>
      </w:r>
      <w:r>
        <w:t xml:space="preserve"> (1957), Chief Justice Warren wrote that the power to investigate is “broad,” encompassing inquiries into the administration of existing laws, proposed statutes, and defects in society. But it is not unlimited. Famously, the Court declared that “there is no congressional power to expose for the sake of exposure,” and that Congress is not a law enforcement or trial agency. </w:t>
      </w:r>
      <w:r>
        <w:rPr>
          <w:i/>
          <w:iCs/>
        </w:rPr>
        <w:t xml:space="preserve">Watkins</w:t>
      </w:r>
      <w:r>
        <w:t xml:space="preserve"> reversed a contempt conviction because the committee had never made clear to the witness how its questions were pertinent to the subject under inquiry.</w:t>
      </w:r>
    </w:p>
    <w:p>
      <w:r>
        <w:t xml:space="preserve">Two years later, in </w:t>
      </w:r>
      <w:r>
        <w:rPr>
          <w:i/>
          <w:iCs/>
        </w:rPr>
        <w:t xml:space="preserve">Barenblatt v. United States</w:t>
      </w:r>
      <w:r>
        <w:t xml:space="preserve"> (1959), the Court retreated somewhat. It upheld a contempt conviction of a witness who refused to answer questions about Communist Party membership, balancing his First Amendment interests against the government’s interest and finding the latter weightier. </w:t>
      </w:r>
      <w:r>
        <w:rPr>
          <w:i/>
          <w:iCs/>
        </w:rPr>
        <w:t xml:space="preserve">Barenblatt</w:t>
      </w:r>
      <w:r>
        <w:t xml:space="preserve"> also stated that courts should not inquire into the </w:t>
      </w:r>
      <w:r>
        <w:rPr>
          <w:b/>
          <w:bCs/>
        </w:rPr>
        <w:t xml:space="preserve">motives</w:t>
      </w:r>
      <w:r>
        <w:t xml:space="preserve"> of legislators so long as a legislative purpose exists. As a practical matter, this makes the legislative purpose test highly deferential.</w:t>
      </w:r>
    </w:p>
    <w:p>
      <w:pPr>
        <w:pStyle w:val="Heading2"/>
      </w:pPr>
      <w:r>
        <w:t xml:space="preserve">Eastland (1975): The Courthouse Door</w:t>
      </w:r>
    </w:p>
    <w:p>
      <w:r>
        <w:t xml:space="preserve">Finally, in </w:t>
      </w:r>
      <w:r>
        <w:rPr>
          <w:i/>
          <w:iCs/>
        </w:rPr>
        <w:t xml:space="preserve">Eastland v. U.S. Servicemen’s Fund</w:t>
      </w:r>
      <w:r>
        <w:t xml:space="preserve"> (1975), the Court held that the Speech or Debate Clause bars a suit to enjoin a congressional subpoena. Issuing a subpoena is a legislative act, “immune from judicial interference.” The recipient’s path to court is therefore indirect: refuse to comply, then raise defenses in a contempt prosecution or a civil enforcement action. Hold onto this point; it explains why most investigative law comes from contempt cases and why the executive branch often prefers to resist rather than sue.</w:t>
      </w:r>
    </w:p>
    <w:p>
      <w:pPr>
        <w:pStyle w:val="Heading1"/>
      </w:pPr>
      <w:r>
        <w:t xml:space="preserve">Part II: General Limits on the Investigative Power</w:t>
      </w:r>
    </w:p>
    <w:p>
      <w:r>
        <w:t xml:space="preserve">Let us organize the limits into a checklist you can use on an exam.</w:t>
      </w:r>
    </w:p>
    <w:p>
      <w:pPr>
        <w:pStyle w:val="ListParagraph"/>
        <w:numPr>
          <w:ilvl w:val="0"/>
          <w:numId w:val="2"/>
        </w:numPr>
        <w:spacing w:after="120"/>
      </w:pPr>
      <w:r>
        <w:rPr>
          <w:b/>
          <w:bCs/>
        </w:rPr>
        <w:t xml:space="preserve">Legislative purpose.</w:t>
      </w:r>
      <w:r>
        <w:t xml:space="preserve"> The inquiry must relate to a subject on which Congress could legislate, appropriate, or otherwise act under the Constitution. The scope of the power to investigate is therefore coextensive with the scope of Congress’s powers. Congress may not investigate matters committed exclusively to another branch, and it may not conduct a trial or punish.</w:t>
      </w:r>
    </w:p>
    <w:p>
      <w:pPr>
        <w:pStyle w:val="ListParagraph"/>
        <w:numPr>
          <w:ilvl w:val="0"/>
          <w:numId w:val="2"/>
        </w:numPr>
        <w:spacing w:after="120"/>
      </w:pPr>
      <w:r>
        <w:rPr>
          <w:b/>
          <w:bCs/>
        </w:rPr>
        <w:t xml:space="preserve">Authorization and pertinence.</w:t>
      </w:r>
      <w:r>
        <w:t xml:space="preserve"> A committee may act only within the jurisdiction delegated by its parent chamber, and questions must be pertinent to the authorized subject. In a criminal contempt case under 2 U.S.C. § 192, pertinence is an element the government must prove, and vagueness in the committee’s mandate can defeat a conviction, as in </w:t>
      </w:r>
      <w:r>
        <w:rPr>
          <w:i/>
          <w:iCs/>
        </w:rPr>
        <w:t xml:space="preserve">Watkins</w:t>
      </w:r>
      <w:r>
        <w:t xml:space="preserve">.</w:t>
      </w:r>
    </w:p>
    <w:p>
      <w:pPr>
        <w:pStyle w:val="ListParagraph"/>
        <w:numPr>
          <w:ilvl w:val="0"/>
          <w:numId w:val="2"/>
        </w:numPr>
        <w:spacing w:after="120"/>
      </w:pPr>
      <w:r>
        <w:rPr>
          <w:b/>
          <w:bCs/>
        </w:rPr>
        <w:t xml:space="preserve">The Bill of Rights.</w:t>
      </w:r>
      <w:r>
        <w:t xml:space="preserve"> The First Amendment applies, though </w:t>
      </w:r>
      <w:r>
        <w:rPr>
          <w:i/>
          <w:iCs/>
        </w:rPr>
        <w:t xml:space="preserve">Barenblatt</w:t>
      </w:r>
      <w:r>
        <w:t xml:space="preserve">-style balancing has rarely favored witnesses. The Fifth Amendment privilege against self-incrimination is fully available; </w:t>
      </w:r>
      <w:r>
        <w:rPr>
          <w:i/>
          <w:iCs/>
        </w:rPr>
        <w:t xml:space="preserve">Quinn v. United States</w:t>
      </w:r>
      <w:r>
        <w:t xml:space="preserve"> (1955) and its companion cases confirmed this. Congress may compel testimony only by granting use immunity, which can complicate later prosecutions, as Oliver North’s overturned conviction after his immunized Iran-Contra testimony illustrates.</w:t>
      </w:r>
    </w:p>
    <w:p>
      <w:pPr>
        <w:pStyle w:val="ListParagraph"/>
        <w:numPr>
          <w:ilvl w:val="0"/>
          <w:numId w:val="2"/>
        </w:numPr>
        <w:spacing w:after="120"/>
      </w:pPr>
      <w:r>
        <w:rPr>
          <w:b/>
          <w:bCs/>
        </w:rPr>
        <w:t xml:space="preserve">Common law and other privileges.</w:t>
      </w:r>
      <w:r>
        <w:t xml:space="preserve"> Whether attorney-client privilege and work product bind Congress is contested. Congress has historically taken the view that such privileges are not binding on it as a matter of right but may be honored as a matter of discretion.</w:t>
      </w:r>
    </w:p>
    <w:p>
      <w:pPr>
        <w:pStyle w:val="ListParagraph"/>
        <w:numPr>
          <w:ilvl w:val="0"/>
          <w:numId w:val="2"/>
        </w:numPr>
        <w:spacing w:after="120"/>
      </w:pPr>
      <w:r>
        <w:rPr>
          <w:b/>
          <w:bCs/>
        </w:rPr>
        <w:t xml:space="preserve">Separation of powers.</w:t>
      </w:r>
      <w:r>
        <w:t xml:space="preserve"> The newest and most important limit for our purposes, discussed in Part III.</w:t>
      </w:r>
    </w:p>
    <w:p>
      <w:r>
        <w:t xml:space="preserve">Notice how gentle the first limit has been in practice. Because </w:t>
      </w:r>
      <w:r>
        <w:rPr>
          <w:i/>
          <w:iCs/>
        </w:rPr>
        <w:t xml:space="preserve">McGrain</w:t>
      </w:r>
      <w:r>
        <w:t xml:space="preserve"> presumes legislative purpose and </w:t>
      </w:r>
      <w:r>
        <w:rPr>
          <w:i/>
          <w:iCs/>
        </w:rPr>
        <w:t xml:space="preserve">Barenblatt</w:t>
      </w:r>
      <w:r>
        <w:t xml:space="preserve"> forbids inquiry into motive, a committee rarely loses on purpose grounds when it investigates a private party or a subordinate agency official. The question that has always loomed is whether that same deference applies when the target is the President.</w:t>
      </w:r>
    </w:p>
    <w:p>
      <w:pPr>
        <w:pStyle w:val="Heading1"/>
      </w:pPr>
      <w:r>
        <w:t xml:space="preserve">Part III: Investigating the Executive Branch</w:t>
      </w:r>
    </w:p>
    <w:p>
      <w:pPr>
        <w:pStyle w:val="Heading2"/>
      </w:pPr>
      <w:r>
        <w:t xml:space="preserve">Why Oversight of the Executive Is Core</w:t>
      </w:r>
    </w:p>
    <w:p>
      <w:r>
        <w:t xml:space="preserve">Investigating the executive is not a marginal use of the power; it is arguably the central one. Congress creates agencies, funds them, defines their powers, and confirms their officers. To do any of this intelligently, it must know how laws are being executed. Woodrow Wilson, writing as a scholar in 1885, argued that the “informing function” of Congress, its duty to look into every operation of government, was as important as legislation itself. The Supreme Court quoted versions of this idea in </w:t>
      </w:r>
      <w:r>
        <w:rPr>
          <w:i/>
          <w:iCs/>
        </w:rPr>
        <w:t xml:space="preserve">Watkins</w:t>
      </w:r>
      <w:r>
        <w:t xml:space="preserve">, noting Congress’s power to inquire into “corruption, maladministration or inefficiency” in federal agencies.</w:t>
      </w:r>
    </w:p>
    <w:p>
      <w:pPr>
        <w:pStyle w:val="Heading2"/>
      </w:pPr>
      <w:r>
        <w:t xml:space="preserve">Executive Privilege</w:t>
      </w:r>
    </w:p>
    <w:p>
      <w:r>
        <w:t xml:space="preserve">The executive’s principal defense is executive privilege. The Constitution does not mention it either; like the investigative power, it is implied, here from Article II and the separation of powers. </w:t>
      </w:r>
      <w:r>
        <w:rPr>
          <w:i/>
          <w:iCs/>
        </w:rPr>
        <w:t xml:space="preserve">United States v. Nixon</w:t>
      </w:r>
      <w:r>
        <w:t xml:space="preserve"> (1974) recognized a qualified presidential communications privilege grounded in the need for candid advice, but held it yielded to the specific, demonstrated need for evidence in a criminal trial. Nixon was a judicial subpoena case, however, not a congressional one. In the same era, the D.C. Circuit in </w:t>
      </w:r>
      <w:r>
        <w:rPr>
          <w:i/>
          <w:iCs/>
        </w:rPr>
        <w:t xml:space="preserve">Senate Select Committee on Presidential Campaign Activities v. Nixon</w:t>
      </w:r>
      <w:r>
        <w:t xml:space="preserve"> (1974) refused to enforce a Senate Watergate committee subpoena for tapes, reasoning that the committee had not shown the materials were “demonstrably critical” to its legislative functions, especially because the House Judiciary Committee already possessed them for impeachment.</w:t>
      </w:r>
    </w:p>
    <w:p>
      <w:r>
        <w:t xml:space="preserve">Students should know that “executive privilege” is really a family of privileges:</w:t>
      </w:r>
    </w:p>
    <w:p>
      <w:pPr>
        <w:pStyle w:val="ListParagraph"/>
        <w:numPr>
          <w:ilvl w:val="0"/>
          <w:numId w:val="3"/>
        </w:numPr>
        <w:spacing w:after="120"/>
      </w:pPr>
      <w:r>
        <w:t xml:space="preserve">the </w:t>
      </w:r>
      <w:r>
        <w:rPr>
          <w:b/>
          <w:bCs/>
        </w:rPr>
        <w:t xml:space="preserve">presidential communications privilege</w:t>
      </w:r>
      <w:r>
        <w:t xml:space="preserve">, protecting communications with and for the President about presidential decisionmaking, which is the strongest;</w:t>
      </w:r>
    </w:p>
    <w:p>
      <w:pPr>
        <w:pStyle w:val="ListParagraph"/>
        <w:numPr>
          <w:ilvl w:val="0"/>
          <w:numId w:val="3"/>
        </w:numPr>
        <w:spacing w:after="120"/>
      </w:pPr>
      <w:r>
        <w:t xml:space="preserve">the </w:t>
      </w:r>
      <w:r>
        <w:rPr>
          <w:b/>
          <w:bCs/>
        </w:rPr>
        <w:t xml:space="preserve">deliberative process privilege</w:t>
      </w:r>
      <w:r>
        <w:t xml:space="preserve">, protecting predecisional agency deliberations, which is weaker and disappears when there is reason to believe government misconduct occurred; and</w:t>
      </w:r>
    </w:p>
    <w:p>
      <w:pPr>
        <w:pStyle w:val="ListParagraph"/>
        <w:numPr>
          <w:ilvl w:val="0"/>
          <w:numId w:val="3"/>
        </w:numPr>
        <w:spacing w:after="120"/>
      </w:pPr>
      <w:r>
        <w:t xml:space="preserve">the </w:t>
      </w:r>
      <w:r>
        <w:rPr>
          <w:b/>
          <w:bCs/>
        </w:rPr>
        <w:t xml:space="preserve">law enforcement privilege</w:t>
      </w:r>
      <w:r>
        <w:t xml:space="preserve">, protecting open investigative files.</w:t>
      </w:r>
    </w:p>
    <w:p>
      <w:r>
        <w:t xml:space="preserve">The executive branch tends to merge these into one broad shield; Congress tends to separate them and read each narrowly. </w:t>
      </w:r>
      <w:r>
        <w:rPr>
          <w:i/>
          <w:iCs/>
        </w:rPr>
        <w:t xml:space="preserve">Committee on Oversight &amp; Government Reform v. Holder</w:t>
      </w:r>
      <w:r>
        <w:t xml:space="preserve"> (D.D.C. 2014), arising from the Fast and Furious gun-trafficking inquiry, illustrates the dynamic: the court held that the deliberative process privilege could apply against Congress but that the Department of Justice could not withhold documents whose contents it had already publicly disclosed.</w:t>
      </w:r>
    </w:p>
    <w:p>
      <w:pPr>
        <w:pStyle w:val="Heading2"/>
      </w:pPr>
      <w:r>
        <w:t xml:space="preserve">Testimonial Immunity for Senior Advisers</w:t>
      </w:r>
    </w:p>
    <w:p>
      <w:r>
        <w:t xml:space="preserve">A related executive claim is that the President’s closest advisers are </w:t>
      </w:r>
      <w:r>
        <w:rPr>
          <w:b/>
          <w:bCs/>
        </w:rPr>
        <w:t xml:space="preserve">absolutely immune</w:t>
      </w:r>
      <w:r>
        <w:t xml:space="preserve"> from compelled congressional testimony. The Department of Justice’s Office of Legal Counsel has asserted this position across administrations of both parties. Courts have rejected it. In </w:t>
      </w:r>
      <w:r>
        <w:rPr>
          <w:i/>
          <w:iCs/>
        </w:rPr>
        <w:t xml:space="preserve">Committee on the Judiciary v. Miers</w:t>
      </w:r>
      <w:r>
        <w:t xml:space="preserve"> (D.D.C. 2008), arising from the firing of U.S. Attorneys, the court held that former White House Counsel Harriet Miers had to appear, though she could assert privilege question by question. In </w:t>
      </w:r>
      <w:r>
        <w:rPr>
          <w:i/>
          <w:iCs/>
        </w:rPr>
        <w:t xml:space="preserve">Committee on the Judiciary v. McGahn</w:t>
      </w:r>
      <w:r>
        <w:t xml:space="preserve"> (D.D.C. 2019), Judge Ketanji Brown Jackson memorably wrote that “Presidents are not kings” and held that former White House Counsel Donald McGahn had to appear. The McGahn litigation then traveled through the D.C. Circuit on questions about whether the House could sue at all, and was ultimately settled in 2021 with an agreement for limited testimony. The Supreme Court has never resolved the immunity question.</w:t>
      </w:r>
    </w:p>
    <w:p>
      <w:pPr>
        <w:pStyle w:val="Heading2"/>
      </w:pPr>
      <w:r>
        <w:t xml:space="preserve">Trump v. Mazars (2020): The Supreme Court Speaks</w:t>
      </w:r>
    </w:p>
    <w:p>
      <w:r>
        <w:t xml:space="preserve">In 2019, three House committees subpoenaed President Trump’s personal financial records from his accounting firm and banks. The President sued in his personal capacity. Note the procedural twist: because the subpoenas were directed at third parties, </w:t>
      </w:r>
      <w:r>
        <w:rPr>
          <w:i/>
          <w:iCs/>
        </w:rPr>
        <w:t xml:space="preserve">Eastland</w:t>
      </w:r>
      <w:r>
        <w:t xml:space="preserve"> did not block the suit in the usual way, and the President was not asserting executive privilege, since the records were personal. The lower courts applied the traditional deferential test and upheld the subpoenas.</w:t>
      </w:r>
    </w:p>
    <w:p>
      <w:r>
        <w:t xml:space="preserve">The Supreme Court, 7–2, in an opinion by Chief Justice Roberts, vacated and remanded. It agreed that the President is not immune from congressional process. But it held that the traditional legislative purpose test was inadequate in this context, because nearly any presidential paper could relate to some conceivable subject of legislation, giving Congress a weapon to harass the President and gain institutional advantage. It also rejected the President’s proposed “demonstrated, specific need” standard drawn from the </w:t>
      </w:r>
      <w:r>
        <w:rPr>
          <w:i/>
          <w:iCs/>
        </w:rPr>
        <w:t xml:space="preserve">Nixon</w:t>
      </w:r>
      <w:r>
        <w:t xml:space="preserve"> line of cases as too restrictive for non-privileged information. Instead, the Court announced four considerations:</w:t>
      </w:r>
    </w:p>
    <w:p>
      <w:pPr>
        <w:pStyle w:val="ListParagraph"/>
        <w:numPr>
          <w:ilvl w:val="0"/>
          <w:numId w:val="4"/>
        </w:numPr>
        <w:spacing w:after="120"/>
      </w:pPr>
      <w:r>
        <w:rPr>
          <w:b/>
          <w:bCs/>
        </w:rPr>
        <w:t xml:space="preserve">Necessity.</w:t>
      </w:r>
      <w:r>
        <w:t xml:space="preserve"> Courts should ask whether the asserted legislative purpose warrants the significant step of involving the President and his papers. Congress may not rely on the President’s information if other sources could reasonably provide it.</w:t>
      </w:r>
    </w:p>
    <w:p>
      <w:pPr>
        <w:pStyle w:val="ListParagraph"/>
        <w:numPr>
          <w:ilvl w:val="0"/>
          <w:numId w:val="4"/>
        </w:numPr>
        <w:spacing w:after="120"/>
      </w:pPr>
      <w:r>
        <w:rPr>
          <w:b/>
          <w:bCs/>
        </w:rPr>
        <w:t xml:space="preserve">Scope.</w:t>
      </w:r>
      <w:r>
        <w:t xml:space="preserve"> The subpoena should be no broader than reasonably necessary to support Congress’s legislative objective.</w:t>
      </w:r>
    </w:p>
    <w:p>
      <w:pPr>
        <w:pStyle w:val="ListParagraph"/>
        <w:numPr>
          <w:ilvl w:val="0"/>
          <w:numId w:val="4"/>
        </w:numPr>
        <w:spacing w:after="120"/>
      </w:pPr>
      <w:r>
        <w:rPr>
          <w:b/>
          <w:bCs/>
        </w:rPr>
        <w:t xml:space="preserve">Evidence of purpose.</w:t>
      </w:r>
      <w:r>
        <w:t xml:space="preserve"> Courts should be attentive to the nature of the evidence Congress offers; detailed and substantial evidence is preferable to vague assertions.</w:t>
      </w:r>
    </w:p>
    <w:p>
      <w:pPr>
        <w:pStyle w:val="ListParagraph"/>
        <w:numPr>
          <w:ilvl w:val="0"/>
          <w:numId w:val="4"/>
        </w:numPr>
        <w:spacing w:after="120"/>
      </w:pPr>
      <w:r>
        <w:rPr>
          <w:b/>
          <w:bCs/>
        </w:rPr>
        <w:t xml:space="preserve">Burdens.</w:t>
      </w:r>
      <w:r>
        <w:t xml:space="preserve"> Courts should assess the burdens imposed on the President, which, coming from a rival branch, should be carefully scrutinized.</w:t>
      </w:r>
    </w:p>
    <w:p>
      <w:r>
        <w:rPr>
          <w:i/>
          <w:iCs/>
        </w:rPr>
        <w:t xml:space="preserve">Mazars</w:t>
      </w:r>
      <w:r>
        <w:t xml:space="preserve"> was the first time the Court squarely confronted an investigative conflict between the political branches. Its message is twofold. Congress’s power reaches the President, but when Congress seeks the President’s information, courts will now look harder at purpose, scope, and burden. On remand, the D.C. Circuit in 2021 narrowed the House Oversight Committee’s subpoena considerably, and the dispute later ended with a settlement.</w:t>
      </w:r>
    </w:p>
    <w:p>
      <w:r>
        <w:t xml:space="preserve">Open questions abound. Does </w:t>
      </w:r>
      <w:r>
        <w:rPr>
          <w:i/>
          <w:iCs/>
        </w:rPr>
        <w:t xml:space="preserve">Mazars</w:t>
      </w:r>
      <w:r>
        <w:t xml:space="preserve"> apply only to the sitting President’s personal papers, or also to official records, former Presidents, or senior officials? Some lower courts have read it narrowly. When the House Judiciary Committee sought to depose a former prosecutor in Manhattan District Attorney Alvin Bragg’s office in 2023, Bragg argued that a </w:t>
      </w:r>
      <w:r>
        <w:rPr>
          <w:i/>
          <w:iCs/>
        </w:rPr>
        <w:t xml:space="preserve">Mazars</w:t>
      </w:r>
      <w:r>
        <w:t xml:space="preserve">-style heightened test should apply; the district court disagreed and the matter was resolved by agreement. Whether </w:t>
      </w:r>
      <w:r>
        <w:rPr>
          <w:i/>
          <w:iCs/>
        </w:rPr>
        <w:t xml:space="preserve">Mazars</w:t>
      </w:r>
      <w:r>
        <w:t xml:space="preserve"> scrutiny extends beyond the President remains unsettled.</w:t>
      </w:r>
    </w:p>
    <w:p>
      <w:pPr>
        <w:pStyle w:val="Heading2"/>
      </w:pPr>
      <w:r>
        <w:t xml:space="preserve">Impeachment Inquiries</w:t>
      </w:r>
    </w:p>
    <w:p>
      <w:r>
        <w:t xml:space="preserve">Impeachment rests on a different constitutional footing: the House’s “sole Power of Impeachment” under Article I, Section 2. Many scholars and members argue that Congress’s claim to information is at its peak during an impeachment inquiry, since it is no longer limited by legislative purpose. In </w:t>
      </w:r>
      <w:r>
        <w:rPr>
          <w:i/>
          <w:iCs/>
        </w:rPr>
        <w:t xml:space="preserve">Trump v. Thompson</w:t>
      </w:r>
      <w:r>
        <w:t xml:space="preserve">, involving the January 6th Committee’s request for presidential records, the D.C. Circuit in 2021 upheld the release of records over a former President’s privilege objection, emphasizing the incumbent President’s decision not to assert privilege. The Supreme Court denied relief in 2022. Treat the precise reach of the impeachment power to compel information as a contested question.</w:t>
      </w:r>
    </w:p>
    <w:p>
      <w:pPr>
        <w:pStyle w:val="Heading1"/>
      </w:pPr>
      <w:r>
        <w:t xml:space="preserve">Part IV: Enforcement—Where Law Meets Politics</w:t>
      </w:r>
    </w:p>
    <w:p>
      <w:r>
        <w:t xml:space="preserve">A subpoena is only as strong as its enforcement. Congress has three tools, each with serious weaknesses when the target is the executive branch.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Pr>
        <w:tc>
          <w:tcPr>
            <w:tcW w:type="dxa" w:w="2340"/>
            <w:tcBorders>
              <w:top w:val="single" w:color="000000" w:sz="2"/>
              <w:left w:val="single" w:color="000000" w:sz="2"/>
              <w:bottom w:val="single" w:color="000000" w:sz="2"/>
              <w:right w:val="single" w:color="000000" w:sz="2"/>
            </w:tcBorders>
            <w:shd w:fill="D3D3D3" w:color="auto" w:val="clear"/>
            <w:tcMar>
              <w:top w:type="dxa" w:w="80"/>
              <w:left w:type="dxa" w:w="120"/>
              <w:bottom w:type="dxa" w:w="80"/>
              <w:right w:type="dxa" w:w="120"/>
            </w:tcMar>
            <w:vAlign w:val="center"/>
          </w:tcPr>
          <w:p>
            <w:pPr>
              <w:spacing w:after="0"/>
              <w:jc w:val="left"/>
            </w:pPr>
            <w:r>
              <w:rPr>
                <w:b/>
                <w:bCs/>
              </w:rPr>
              <w:t xml:space="preserve">Tool</w:t>
            </w:r>
          </w:p>
        </w:tc>
        <w:tc>
          <w:tcPr>
            <w:tcW w:type="dxa" w:w="3510"/>
            <w:tcBorders>
              <w:top w:val="single" w:color="000000" w:sz="2"/>
              <w:left w:val="single" w:color="000000" w:sz="2"/>
              <w:bottom w:val="single" w:color="000000" w:sz="2"/>
              <w:right w:val="single" w:color="000000" w:sz="2"/>
            </w:tcBorders>
            <w:shd w:fill="D3D3D3" w:color="auto" w:val="clear"/>
            <w:tcMar>
              <w:top w:type="dxa" w:w="80"/>
              <w:left w:type="dxa" w:w="120"/>
              <w:bottom w:type="dxa" w:w="80"/>
              <w:right w:type="dxa" w:w="120"/>
            </w:tcMar>
            <w:vAlign w:val="center"/>
          </w:tcPr>
          <w:p>
            <w:pPr>
              <w:spacing w:after="0"/>
              <w:jc w:val="left"/>
            </w:pPr>
            <w:r>
              <w:rPr>
                <w:b/>
                <w:bCs/>
              </w:rPr>
              <w:t xml:space="preserve">How it works</w:t>
            </w:r>
          </w:p>
        </w:tc>
        <w:tc>
          <w:tcPr>
            <w:tcW w:type="dxa" w:w="3510"/>
            <w:tcBorders>
              <w:top w:val="single" w:color="000000" w:sz="2"/>
              <w:left w:val="single" w:color="000000" w:sz="2"/>
              <w:bottom w:val="single" w:color="000000" w:sz="2"/>
              <w:right w:val="single" w:color="000000" w:sz="2"/>
            </w:tcBorders>
            <w:shd w:fill="D3D3D3" w:color="auto" w:val="clear"/>
            <w:tcMar>
              <w:top w:type="dxa" w:w="80"/>
              <w:left w:type="dxa" w:w="120"/>
              <w:bottom w:type="dxa" w:w="80"/>
              <w:right w:type="dxa" w:w="120"/>
            </w:tcMar>
            <w:vAlign w:val="center"/>
          </w:tcPr>
          <w:p>
            <w:pPr>
              <w:spacing w:after="0"/>
              <w:jc w:val="left"/>
            </w:pPr>
            <w:r>
              <w:rPr>
                <w:b/>
                <w:bCs/>
              </w:rPr>
              <w:t xml:space="preserve">Weakness against the executive</w:t>
            </w:r>
          </w:p>
        </w:tc>
      </w:tr>
      <w:tr>
        <w:trPr>
          <w:cantSplit/>
          <w:tblHeader w:val="false"/>
        </w:trPr>
        <w:tc>
          <w:tcPr>
            <w:tcW w:type="dxa" w:w="23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Criminal contempt (2 U.S.C. §§ 192, 194)</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The chamber certifies contempt to the U.S. Attorney, who brings the matter before a grand jury.</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The Department of Justice generally declines to prosecute officials who withhold information on the President’s instruction based on executive privilege, as with Attorney General Holder in 2012. Prosecutions have occurred against former officials, such as Steve Bannon’s 2022 conviction.</w:t>
            </w:r>
          </w:p>
        </w:tc>
      </w:tr>
      <w:tr>
        <w:trPr>
          <w:cantSplit/>
          <w:tblHeader w:val="false"/>
        </w:trPr>
        <w:tc>
          <w:tcPr>
            <w:tcW w:type="dxa" w:w="23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Civil enforcement lawsuit</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The chamber or committee sues in federal court for an order compelling compliance. The Senate has a statute (28 U.S.C. § 1365) that excludes most executive officials; the House relies on general jurisdiction.</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Litigation is slow, often outlasting the Congress that issued the subpoena, and raises threshold questions about standing and causes of action, as in McGahn.</w:t>
            </w:r>
          </w:p>
        </w:tc>
      </w:tr>
      <w:tr>
        <w:trPr>
          <w:cantSplit/>
          <w:tblHeader w:val="false"/>
        </w:trPr>
        <w:tc>
          <w:tcPr>
            <w:tcW w:type="dxa" w:w="23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Inherent contempt</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The chamber itself arrests and tries the contemnor, as upheld in McGrain.</w:t>
            </w:r>
          </w:p>
        </w:tc>
        <w:tc>
          <w:tcPr>
            <w:tcW w:type="dxa" w:w="351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Not used since 1935; politically and practically unattractive against executive officers.</w:t>
            </w:r>
          </w:p>
        </w:tc>
      </w:tr>
    </w:tbl>
    <w:p>
      <w:r>
        <w:t xml:space="preserve">Congress also wields powerful nonjudicial leverage: withholding appropriations, delaying nominations, holding public hearings, and, ultimately, impeachment. In practice, the vast majority of interbranch information disputes end through what courts and commentators call the </w:t>
      </w:r>
      <w:r>
        <w:rPr>
          <w:b/>
          <w:bCs/>
        </w:rPr>
        <w:t xml:space="preserve">accommodation process</w:t>
      </w:r>
      <w:r>
        <w:t xml:space="preserve">, a period of negotiation in which each branch seeks “an optimal accommodation” of the other’s needs, a phrase from </w:t>
      </w:r>
      <w:r>
        <w:rPr>
          <w:i/>
          <w:iCs/>
        </w:rPr>
        <w:t xml:space="preserve">United States v. AT&amp;T</w:t>
      </w:r>
      <w:r>
        <w:t xml:space="preserve"> (D.C. Cir. 1976). </w:t>
      </w:r>
      <w:r>
        <w:rPr>
          <w:i/>
          <w:iCs/>
        </w:rPr>
        <w:t xml:space="preserve">Mazars</w:t>
      </w:r>
      <w:r>
        <w:t xml:space="preserve"> explicitly endorsed this tradition and warned that judicial resolution should be a last resort.</w:t>
      </w:r>
    </w:p>
    <w:p>
      <w:pPr>
        <w:pStyle w:val="Heading1"/>
      </w:pPr>
      <w:r>
        <w:t xml:space="preserve">Part V: Putting It Together</w:t>
      </w:r>
    </w:p>
    <w:p>
      <w:r>
        <w:t xml:space="preserve">Consider a hypothetical for review. A Senate committee subpoenas (a) internal emails from a cabinet department about a rule’s cost estimates, (b) the testimony of the White House Chief of Staff about a conversation with the President, and (c) the President’s personal tax returns.</w:t>
      </w:r>
    </w:p>
    <w:p>
      <w:pPr>
        <w:pStyle w:val="ListParagraph"/>
        <w:numPr>
          <w:ilvl w:val="0"/>
          <w:numId w:val="3"/>
        </w:numPr>
        <w:spacing w:after="120"/>
      </w:pPr>
      <w:r>
        <w:rPr>
          <w:b/>
          <w:bCs/>
        </w:rPr>
        <w:t xml:space="preserve">The agency emails</w:t>
      </w:r>
      <w:r>
        <w:t xml:space="preserve"> fall at the core of oversight under </w:t>
      </w:r>
      <w:r>
        <w:rPr>
          <w:i/>
          <w:iCs/>
        </w:rPr>
        <w:t xml:space="preserve">McGrain</w:t>
      </w:r>
      <w:r>
        <w:t xml:space="preserve"> and </w:t>
      </w:r>
      <w:r>
        <w:rPr>
          <w:i/>
          <w:iCs/>
        </w:rPr>
        <w:t xml:space="preserve">Watkins</w:t>
      </w:r>
      <w:r>
        <w:t xml:space="preserve">. The likely defense is deliberative process privilege, which is qualified and relatively easy for Congress to overcome, especially with evidence of misconduct.</w:t>
      </w:r>
    </w:p>
    <w:p>
      <w:pPr>
        <w:pStyle w:val="ListParagraph"/>
        <w:numPr>
          <w:ilvl w:val="0"/>
          <w:numId w:val="3"/>
        </w:numPr>
        <w:spacing w:after="120"/>
      </w:pPr>
      <w:r>
        <w:rPr>
          <w:b/>
          <w:bCs/>
        </w:rPr>
        <w:t xml:space="preserve">The Chief of Staff’s testimony</w:t>
      </w:r>
      <w:r>
        <w:t xml:space="preserve"> triggers the presidential communications privilege and the claim of absolute immunity. </w:t>
      </w:r>
      <w:r>
        <w:rPr>
          <w:i/>
          <w:iCs/>
        </w:rPr>
        <w:t xml:space="preserve">Miers</w:t>
      </w:r>
      <w:r>
        <w:t xml:space="preserve"> and </w:t>
      </w:r>
      <w:r>
        <w:rPr>
          <w:i/>
          <w:iCs/>
        </w:rPr>
        <w:t xml:space="preserve">McGahn</w:t>
      </w:r>
      <w:r>
        <w:t xml:space="preserve"> suggest the adviser must appear but may assert privilege on specific questions; the privilege itself would yield only upon a strong showing of need, perhaps the “demonstrably critical” standard of </w:t>
      </w:r>
      <w:r>
        <w:rPr>
          <w:i/>
          <w:iCs/>
        </w:rPr>
        <w:t xml:space="preserve">Senate Select Committee</w:t>
      </w:r>
      <w:r>
        <w:t xml:space="preserve">.</w:t>
      </w:r>
    </w:p>
    <w:p>
      <w:pPr>
        <w:pStyle w:val="ListParagraph"/>
        <w:numPr>
          <w:ilvl w:val="0"/>
          <w:numId w:val="3"/>
        </w:numPr>
        <w:spacing w:after="120"/>
      </w:pPr>
      <w:r>
        <w:rPr>
          <w:b/>
          <w:bCs/>
        </w:rPr>
        <w:t xml:space="preserve">The tax returns</w:t>
      </w:r>
      <w:r>
        <w:t xml:space="preserve"> are personal, not privileged, so </w:t>
      </w:r>
      <w:r>
        <w:rPr>
          <w:i/>
          <w:iCs/>
        </w:rPr>
        <w:t xml:space="preserve">Mazars</w:t>
      </w:r>
      <w:r>
        <w:t xml:space="preserve"> governs. The committee should document a specific legislative purpose, explain why other sources are inadequate, and narrow its request.</w:t>
      </w:r>
    </w:p>
    <w:p>
      <w:r>
        <w:t xml:space="preserve">And for every item, ask the practical question: how would the Senate enforce compliance, and how long would that take?</w:t>
      </w:r>
    </w:p>
    <w:p>
      <w:pPr>
        <w:pStyle w:val="Heading1"/>
      </w:pPr>
      <w:r>
        <w:t xml:space="preserve">Conclusion</w:t>
      </w:r>
    </w:p>
    <w:p>
      <w:r>
        <w:t xml:space="preserve">The investigative power began as an inference and has grown into one of Congress’s most potent tools. Its doctrinal limits, legislative purpose, pertinence, and individual rights, were developed mostly in cases involving private citizens and are deferential to Congress. The real constraints on investigations of the executive branch come from the separation of powers: executive privilege, contested immunity claims, the </w:t>
      </w:r>
      <w:r>
        <w:rPr>
          <w:i/>
          <w:iCs/>
        </w:rPr>
        <w:t xml:space="preserve">Mazars</w:t>
      </w:r>
      <w:r>
        <w:t xml:space="preserve"> framework, and, above all, the practical difficulty of enforcement. For lawyers, the lesson is that this field is as much about institutional strategy as doctrine. The case law tells you the boundaries; the accommodation process tells you how disputes actually end.</w:t>
      </w:r>
    </w:p>
    <w:p>
      <w:pPr>
        <w:pStyle w:val="Heading2"/>
      </w:pPr>
      <w:r>
        <w:t xml:space="preserve">Questions for Discussion</w:t>
      </w:r>
    </w:p>
    <w:p>
      <w:pPr>
        <w:pStyle w:val="ListParagraph"/>
        <w:numPr>
          <w:ilvl w:val="0"/>
          <w:numId w:val="5"/>
        </w:numPr>
        <w:spacing w:after="120"/>
      </w:pPr>
      <w:r>
        <w:t xml:space="preserve">Is </w:t>
      </w:r>
      <w:r>
        <w:rPr>
          <w:i/>
          <w:iCs/>
        </w:rPr>
        <w:t xml:space="preserve">Mazars</w:t>
      </w:r>
      <w:r>
        <w:t xml:space="preserve"> best read as a special rule for the President, or as a signal that the legislative purpose test is becoming more demanding generally?</w:t>
      </w:r>
    </w:p>
    <w:p>
      <w:pPr>
        <w:pStyle w:val="ListParagraph"/>
        <w:numPr>
          <w:ilvl w:val="0"/>
          <w:numId w:val="5"/>
        </w:numPr>
        <w:spacing w:after="120"/>
      </w:pPr>
      <w:r>
        <w:t xml:space="preserve">Should courts decide interbranch information disputes at all, or should they leave them to political bargaining?</w:t>
      </w:r>
    </w:p>
    <w:p>
      <w:pPr>
        <w:pStyle w:val="ListParagraph"/>
        <w:numPr>
          <w:ilvl w:val="0"/>
          <w:numId w:val="5"/>
        </w:numPr>
        <w:spacing w:after="120"/>
      </w:pPr>
      <w:r>
        <w:t xml:space="preserve">If the Department of Justice will not prosecute executive officials for contempt, does Congress need a new enforcement mechanism? What would it look like?</w:t>
      </w:r>
    </w:p>
    <w:p>
      <w:pPr>
        <w:pStyle w:val="ListParagraph"/>
        <w:numPr>
          <w:ilvl w:val="0"/>
          <w:numId w:val="5"/>
        </w:numPr>
        <w:spacing w:after="120"/>
      </w:pPr>
      <w:r>
        <w:t xml:space="preserve">Does the House’s impeachment power carry a stronger right to information than its legislative power? Why?</w:t>
      </w:r>
    </w:p>
    <w:p>
      <w:pPr>
        <w:pStyle w:val="Heading2"/>
      </w:pPr>
      <w:r>
        <w:t xml:space="preserve">Principal Authorities</w:t>
      </w:r>
    </w:p>
    <w:p>
      <w:pPr>
        <w:pStyle w:val="ListParagraph"/>
        <w:numPr>
          <w:ilvl w:val="0"/>
          <w:numId w:val="3"/>
        </w:numPr>
        <w:spacing w:after="120"/>
      </w:pPr>
      <w:r>
        <w:t xml:space="preserve">Kilbourn v. Thompson, 103 U.S. 168 (1881)</w:t>
      </w:r>
    </w:p>
    <w:p>
      <w:pPr>
        <w:pStyle w:val="ListParagraph"/>
        <w:numPr>
          <w:ilvl w:val="0"/>
          <w:numId w:val="3"/>
        </w:numPr>
        <w:spacing w:after="120"/>
      </w:pPr>
      <w:r>
        <w:t xml:space="preserve">McGrain v. Daugherty, 273 U.S. 135 (1927)</w:t>
      </w:r>
    </w:p>
    <w:p>
      <w:pPr>
        <w:pStyle w:val="ListParagraph"/>
        <w:numPr>
          <w:ilvl w:val="0"/>
          <w:numId w:val="3"/>
        </w:numPr>
        <w:spacing w:after="120"/>
      </w:pPr>
      <w:r>
        <w:t xml:space="preserve">Sinclair v. United States, 279 U.S. 263 (1929)</w:t>
      </w:r>
    </w:p>
    <w:p>
      <w:pPr>
        <w:pStyle w:val="ListParagraph"/>
        <w:numPr>
          <w:ilvl w:val="0"/>
          <w:numId w:val="3"/>
        </w:numPr>
        <w:spacing w:after="120"/>
      </w:pPr>
      <w:r>
        <w:t xml:space="preserve">Quinn v. United States, 349 U.S. 155 (1955)</w:t>
      </w:r>
    </w:p>
    <w:p>
      <w:pPr>
        <w:pStyle w:val="ListParagraph"/>
        <w:numPr>
          <w:ilvl w:val="0"/>
          <w:numId w:val="3"/>
        </w:numPr>
        <w:spacing w:after="120"/>
      </w:pPr>
      <w:r>
        <w:t xml:space="preserve">Watkins v. United States, 354 U.S. 178 (1957)</w:t>
      </w:r>
    </w:p>
    <w:p>
      <w:pPr>
        <w:pStyle w:val="ListParagraph"/>
        <w:numPr>
          <w:ilvl w:val="0"/>
          <w:numId w:val="3"/>
        </w:numPr>
        <w:spacing w:after="120"/>
      </w:pPr>
      <w:r>
        <w:t xml:space="preserve">Barenblatt v. United States, 360 U.S. 109 (1959)</w:t>
      </w:r>
    </w:p>
    <w:p>
      <w:pPr>
        <w:pStyle w:val="ListParagraph"/>
        <w:numPr>
          <w:ilvl w:val="0"/>
          <w:numId w:val="3"/>
        </w:numPr>
        <w:spacing w:after="120"/>
      </w:pPr>
      <w:r>
        <w:t xml:space="preserve">United States v. Nixon, 418 U.S. 683 (1974)</w:t>
      </w:r>
    </w:p>
    <w:p>
      <w:pPr>
        <w:pStyle w:val="ListParagraph"/>
        <w:numPr>
          <w:ilvl w:val="0"/>
          <w:numId w:val="3"/>
        </w:numPr>
        <w:spacing w:after="120"/>
      </w:pPr>
      <w:r>
        <w:t xml:space="preserve">Senate Select Comm. on Presidential Campaign Activities v. Nixon, 498 F.2d 725 (D.C. Cir. 1974)</w:t>
      </w:r>
    </w:p>
    <w:p>
      <w:pPr>
        <w:pStyle w:val="ListParagraph"/>
        <w:numPr>
          <w:ilvl w:val="0"/>
          <w:numId w:val="3"/>
        </w:numPr>
        <w:spacing w:after="120"/>
      </w:pPr>
      <w:r>
        <w:t xml:space="preserve">Eastland v. U.S. Servicemen’s Fund, 421 U.S. 491 (1975)</w:t>
      </w:r>
    </w:p>
    <w:p>
      <w:pPr>
        <w:pStyle w:val="ListParagraph"/>
        <w:numPr>
          <w:ilvl w:val="0"/>
          <w:numId w:val="3"/>
        </w:numPr>
        <w:spacing w:after="120"/>
      </w:pPr>
      <w:r>
        <w:t xml:space="preserve">United States v. AT&amp;T, 551 F.2d 384 (D.C. Cir. 1976)</w:t>
      </w:r>
    </w:p>
    <w:p>
      <w:pPr>
        <w:pStyle w:val="ListParagraph"/>
        <w:numPr>
          <w:ilvl w:val="0"/>
          <w:numId w:val="3"/>
        </w:numPr>
        <w:spacing w:after="120"/>
      </w:pPr>
      <w:r>
        <w:t xml:space="preserve">Comm. on the Judiciary v. Miers, 558 F. Supp. 2d 53 (D.D.C. 2008)</w:t>
      </w:r>
    </w:p>
    <w:p>
      <w:pPr>
        <w:pStyle w:val="ListParagraph"/>
        <w:numPr>
          <w:ilvl w:val="0"/>
          <w:numId w:val="3"/>
        </w:numPr>
        <w:spacing w:after="120"/>
      </w:pPr>
      <w:r>
        <w:t xml:space="preserve">Comm. on the Judiciary v. McGahn, 415 F. Supp. 3d 148 (D.D.C. 2019)</w:t>
      </w:r>
    </w:p>
    <w:p>
      <w:pPr>
        <w:pStyle w:val="ListParagraph"/>
        <w:numPr>
          <w:ilvl w:val="0"/>
          <w:numId w:val="3"/>
        </w:numPr>
        <w:spacing w:after="120"/>
      </w:pPr>
      <w:r>
        <w:t xml:space="preserve">Trump v. Mazars USA, LLP, 591 U.S. 848 (2020)</w:t>
      </w:r>
    </w:p>
    <w:p>
      <w:pPr>
        <w:pStyle w:val="ListParagraph"/>
        <w:numPr>
          <w:ilvl w:val="0"/>
          <w:numId w:val="3"/>
        </w:numPr>
        <w:spacing w:after="120"/>
      </w:pPr>
      <w:r>
        <w:t xml:space="preserve">Trump v. Thompson, 20 F.4th 10 (D.C. Cir. 2021)</w:t>
      </w:r>
    </w:p>
    <w:p>
      <w:pPr>
        <w:pStyle w:val="ListParagraph"/>
        <w:numPr>
          <w:ilvl w:val="0"/>
          <w:numId w:val="3"/>
        </w:numPr>
        <w:spacing w:after="120"/>
      </w:pPr>
      <w:r>
        <w:t xml:space="preserve">2 U.S.C. §§ 192, 194; 28 U.S.C. § 1365</w:t>
      </w:r>
    </w:p>
    <w:p>
      <w:pPr>
        <w:pStyle w:val="ListParagraph"/>
        <w:numPr>
          <w:ilvl w:val="0"/>
          <w:numId w:val="3"/>
        </w:numPr>
        <w:spacing w:after="120"/>
      </w:pPr>
      <w:r>
        <w:t xml:space="preserve">Constitution Annotated, Art. I, § 8, cl. 18 essays on investigation and oversight; Congressional Research Service, Legal Sidebars LSB10373 and LSB10517</w:t>
      </w:r>
    </w:p>
    <w:sectPr>
      <w:footerReference w:type="default" r:id="rId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sz w:val="18"/>
        <w:szCs w:val="18"/>
      </w:rPr>
      <w:t xml:space="preserve">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lvl w:ilvl="4" w15:tentative="1">
      <w:start w:val="1"/>
      <w:numFmt w:val="lowerLetter"/>
      <w:lvlText w:val="%5."/>
      <w:lvlJc w:val="left"/>
      <w:pPr>
        <w:ind w:left="3600" w:hanging="360"/>
      </w:pPr>
    </w:lvl>
    <w:lvl w:ilvl="5" w15:tentative="1">
      <w:start w:val="1"/>
      <w:numFmt w:val="lowerRoman"/>
      <w:lvlText w:val="%6."/>
      <w:lvlJc w:val="left"/>
      <w:pPr>
        <w:ind w:left="4320" w:hanging="360"/>
      </w:pPr>
    </w:lvl>
    <w:lvl w:ilvl="6" w15:tentative="1">
      <w:start w:val="1"/>
      <w:numFmt w:val="decimal"/>
      <w:lvlText w:val="%7."/>
      <w:lvlJc w:val="left"/>
      <w:pPr>
        <w:ind w:left="5040" w:hanging="360"/>
      </w:pPr>
    </w:lvl>
    <w:lvl w:ilvl="7" w15:tentative="1">
      <w:start w:val="1"/>
      <w:numFmt w:val="lowerLetter"/>
      <w:lvlText w:val="%8."/>
      <w:lvlJc w:val="left"/>
      <w:pPr>
        <w:ind w:left="5760" w:hanging="360"/>
      </w:pPr>
    </w:lvl>
    <w:lvl w:ilvl="8" w15:tentative="1">
      <w:start w:val="1"/>
      <w:numFmt w:val="lowerRoman"/>
      <w:lvlText w:val="%9."/>
      <w:lvlJc w:val="left"/>
      <w:pPr>
        <w:ind w:left="6480" w:hanging="360"/>
      </w:pPr>
    </w:lvl>
  </w:abstractNum>
  <w:abstractNum w:abstractNumId="4" w15:restartNumberingAfterBreak="0">
    <w:multiLevelType w:val="hybridMultilevel"/>
    <w:lvl w:ilvl="0" w15:tentative="1">
      <w:start w:val="1"/>
      <w:numFmt w:val="decimal"/>
      <w:lvlText w:val="%1."/>
      <w:lvlJc w:val="left"/>
      <w:pPr>
        <w:ind w:left="720" w:hanging="720"/>
      </w:pPr>
    </w:lvl>
    <w:lvl w:ilvl="1" w15:tentative="1">
      <w:start w:val="1"/>
      <w:numFmt w:val="decimal"/>
      <w:lvlText w:val="%1.%2"/>
      <w:lvlJc w:val="left"/>
      <w:pPr>
        <w:ind w:left="720" w:hanging="720"/>
      </w:pPr>
    </w:lvl>
    <w:lvl w:ilvl="2" w15:tentative="1">
      <w:start w:val="1"/>
      <w:numFmt w:val="lowerLetter"/>
      <w:lvlText w:val="(%3)"/>
      <w:lvlJc w:val="left"/>
      <w:pPr>
        <w:ind w:left="1440" w:hanging="720"/>
      </w:pPr>
    </w:lvl>
    <w:lvl w:ilvl="3" w15:tentative="1">
      <w:start w:val="1"/>
      <w:numFmt w:val="lowerRoman"/>
      <w:lvlText w:val="(%4)"/>
      <w:lvlJc w:val="left"/>
      <w:pPr>
        <w:ind w:left="2160" w:hanging="720"/>
      </w:pPr>
    </w:lvl>
    <w:lvl w:ilvl="4" w15:tentative="1">
      <w:start w:val="1"/>
      <w:numFmt w:val="decimal"/>
      <w:lvlText w:val="(%5)"/>
      <w:lvlJc w:val="left"/>
      <w:pPr>
        <w:ind w:left="2880" w:hanging="720"/>
      </w:pPr>
    </w:lvl>
    <w:lvl w:ilvl="5" w15:tentative="1">
      <w:start w:val="1"/>
      <w:numFmt w:val="lowerLetter"/>
      <w:lvlText w:val="(%6)"/>
      <w:lvlJc w:val="left"/>
      <w:pPr>
        <w:ind w:left="3600" w:hanging="720"/>
      </w:pPr>
    </w:lvl>
    <w:lvl w:ilvl="6" w15:tentative="1">
      <w:start w:val="1"/>
      <w:numFmt w:val="lowerRoman"/>
      <w:lvlText w:val="(%7)"/>
      <w:lvlJc w:val="left"/>
      <w:pPr>
        <w:ind w:left="4320" w:hanging="720"/>
      </w:pPr>
    </w:lvl>
    <w:lvl w:ilvl="7" w15:tentative="1">
      <w:start w:val="1"/>
      <w:numFmt w:val="decimal"/>
      <w:lvlText w:val="(%8)"/>
      <w:lvlJc w:val="left"/>
      <w:pPr>
        <w:ind w:left="5040" w:hanging="720"/>
      </w:pPr>
    </w:lvl>
    <w:lvl w:ilvl="8" w15:tentative="1">
      <w:start w:val="1"/>
      <w:numFmt w:val="lowerLetter"/>
      <w:lvlText w:val="(%9)"/>
      <w:lvlJc w:val="left"/>
      <w:pPr>
        <w:ind w:left="5760" w:hanging="720"/>
      </w:pPr>
    </w:lvl>
  </w:abstractNum>
  <w:abstractNum w:abstractNumId="5" w15:restartNumberingAfterBreak="0">
    <w:multiLevelType w:val="hybridMultilevel"/>
    <w:lvl w:ilvl="0" w15:tentative="1">
      <w:start w:val="1"/>
      <w:numFmt w:val="decimal"/>
      <w:lvlText w:val="%1."/>
      <w:lvlJc w:val="left"/>
      <w:pPr>
        <w:ind w:left="720" w:hanging="720"/>
      </w:pPr>
    </w:lvl>
    <w:lvl w:ilvl="1" w15:tentative="1">
      <w:start w:val="1"/>
      <w:numFmt w:val="decimal"/>
      <w:lvlText w:val="%1.%2"/>
      <w:lvlJc w:val="left"/>
      <w:pPr>
        <w:ind w:left="720" w:hanging="720"/>
      </w:pPr>
    </w:lvl>
    <w:lvl w:ilvl="2" w15:tentative="1">
      <w:start w:val="1"/>
      <w:numFmt w:val="decimal"/>
      <w:lvlText w:val="%1.%2.%3"/>
      <w:lvlJc w:val="left"/>
      <w:pPr>
        <w:ind w:left="720" w:hanging="720"/>
      </w:pPr>
    </w:lvl>
    <w:lvl w:ilvl="3" w15:tentative="1">
      <w:start w:val="1"/>
      <w:numFmt w:val="decimal"/>
      <w:lvlText w:val="%1.%2.%3.%4"/>
      <w:lvlJc w:val="left"/>
      <w:pPr>
        <w:ind w:left="720" w:hanging="720"/>
      </w:pPr>
    </w:lvl>
    <w:lvl w:ilvl="4" w15:tentative="1">
      <w:start w:val="1"/>
      <w:numFmt w:val="decimal"/>
      <w:lvlText w:val="%1.%2.%3.%4.%5"/>
      <w:lvlJc w:val="left"/>
      <w:pPr>
        <w:ind w:left="720" w:hanging="720"/>
      </w:pPr>
    </w:lvl>
    <w:lvl w:ilvl="5" w15:tentative="1">
      <w:start w:val="1"/>
      <w:numFmt w:val="decimal"/>
      <w:lvlText w:val="%1.%2.%3.%4.%5.%6"/>
      <w:lvlJc w:val="left"/>
      <w:pPr>
        <w:ind w:left="720" w:hanging="720"/>
      </w:pPr>
    </w:lvl>
    <w:lvl w:ilvl="6" w15:tentative="1">
      <w:start w:val="1"/>
      <w:numFmt w:val="decimal"/>
      <w:lvlText w:val="%1.%2.%3.%4.%5.%6.%7"/>
      <w:lvlJc w:val="left"/>
      <w:pPr>
        <w:ind w:left="720" w:hanging="720"/>
      </w:pPr>
    </w:lvl>
    <w:lvl w:ilvl="7" w15:tentative="1">
      <w:start w:val="1"/>
      <w:numFmt w:val="decimal"/>
      <w:lvlText w:val="%1.%2.%3.%4.%5.%6.%7.%8"/>
      <w:lvlJc w:val="left"/>
      <w:pPr>
        <w:ind w:left="720" w:hanging="720"/>
      </w:pPr>
    </w:lvl>
    <w:lvl w:ilvl="8" w15:tentative="1">
      <w:start w:val="1"/>
      <w:numFmt w:val="decimal"/>
      <w:lvlText w:val="%1.%2.%3.%4.%5.%6.%7.%8.%9"/>
      <w:lvlJc w:val="left"/>
      <w:pPr>
        <w:ind w:left="720" w:hanging="720"/>
      </w:pPr>
    </w:lvl>
  </w:abstractNum>
  <w:abstractNum w:abstractNumId="6" w15:restartNumberingAfterBreak="0">
    <w:multiLevelType w:val="hybridMultilevel"/>
    <w:lvl w:ilvl="0" w15:tentative="1">
      <w:start w:val="1"/>
      <w:numFmt w:val="upperLetter"/>
      <w:lvlText w:val="(%1)"/>
      <w:lvlJc w:val="left"/>
      <w:pPr>
        <w:ind w:left="720" w:hanging="720"/>
      </w:pPr>
    </w:lvl>
    <w:lvl w:ilvl="1" w15:tentative="1">
      <w:start w:val="1"/>
      <w:numFmt w:val="lowerRoman"/>
      <w:lvlText w:val="(%2)"/>
      <w:lvlJc w:val="left"/>
      <w:pPr>
        <w:ind w:left="720" w:hanging="720"/>
      </w:pPr>
    </w:lvl>
    <w:lvl w:ilvl="2" w15:tentative="1">
      <w:start w:val="1"/>
      <w:numFmt w:val="decimal"/>
      <w:lvlText w:val="(%3)"/>
      <w:lvlJc w:val="left"/>
      <w:pPr>
        <w:ind w:left="1440" w:hanging="720"/>
      </w:pPr>
    </w:lvl>
    <w:lvl w:ilvl="3" w15:tentative="1">
      <w:start w:val="1"/>
      <w:numFmt w:val="lowerLetter"/>
      <w:lvlText w:val="(%4)"/>
      <w:lvlJc w:val="left"/>
      <w:pPr>
        <w:ind w:left="2160" w:hanging="720"/>
      </w:pPr>
    </w:lvl>
    <w:lvl w:ilvl="4" w15:tentative="1">
      <w:start w:val="1"/>
      <w:numFmt w:val="lowerRoman"/>
      <w:lvlText w:val="(%5)"/>
      <w:lvlJc w:val="left"/>
      <w:pPr>
        <w:ind w:left="2880" w:hanging="720"/>
      </w:pPr>
    </w:lvl>
    <w:lvl w:ilvl="5" w15:tentative="1">
      <w:start w:val="1"/>
      <w:numFmt w:val="decimal"/>
      <w:lvlText w:val="(%6)"/>
      <w:lvlJc w:val="left"/>
      <w:pPr>
        <w:ind w:left="3600" w:hanging="720"/>
      </w:pPr>
    </w:lvl>
    <w:lvl w:ilvl="6" w15:tentative="1">
      <w:start w:val="1"/>
      <w:numFmt w:val="lowerLetter"/>
      <w:lvlText w:val="(%7)"/>
      <w:lvlJc w:val="left"/>
      <w:pPr>
        <w:ind w:left="4320" w:hanging="720"/>
      </w:pPr>
    </w:lvl>
    <w:lvl w:ilvl="7" w15:tentative="1">
      <w:start w:val="1"/>
      <w:numFmt w:val="lowerRoman"/>
      <w:lvlText w:val="(%8)"/>
      <w:lvlJc w:val="left"/>
      <w:pPr>
        <w:ind w:left="5040" w:hanging="720"/>
      </w:pPr>
    </w:lvl>
    <w:lvl w:ilvl="8" w15:tentative="1">
      <w:start w:val="1"/>
      <w:numFmt w:val="decimal"/>
      <w:lvlText w:val="(%9)"/>
      <w:lvlJc w:val="left"/>
      <w:pPr>
        <w:ind w:left="5760" w:hanging="7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000000"/>
        <w:sz w:val="24"/>
        <w:szCs w:val="24"/>
        <w:rFonts w:ascii="Times New Roman" w:cs="Times New Roman" w:eastAsia="Times New Roman" w:hAnsi="Times New Roman"/>
      </w:rPr>
    </w:rPrDefault>
    <w:pPrDefault>
      <w:pPr>
        <w:spacing w:line="240" w:after="1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240" w:after="240" w:line="240"/>
      <w:outlineLvl w:val="0"/>
    </w:pPr>
    <w:rPr>
      <w:b/>
      <w:bCs/>
      <w:color w:val="000000"/>
      <w:sz w:val="32"/>
      <w:szCs w:val="32"/>
      <w:rFonts w:ascii="Times New Roman" w:cs="Times New Roman" w:eastAsia="Times New Roman" w:hAnsi="Times New Roman"/>
    </w:rPr>
  </w:style>
  <w:style w:type="paragraph" w:styleId="Heading2">
    <w:name w:val="Heading 2"/>
    <w:basedOn w:val="Normal"/>
    <w:next w:val="Normal"/>
    <w:qFormat/>
    <w:pPr>
      <w:keepNext/>
      <w:spacing w:before="180" w:after="180" w:line="240"/>
      <w:outlineLvl w:val="1"/>
    </w:pPr>
    <w:rPr>
      <w:b/>
      <w:bCs/>
      <w:color w:val="000000"/>
      <w:sz w:val="28"/>
      <w:szCs w:val="28"/>
      <w:rFonts w:ascii="Times New Roman" w:cs="Times New Roman" w:eastAsia="Times New Roman" w:hAnsi="Times New Roman"/>
    </w:rPr>
  </w:style>
  <w:style w:type="paragraph" w:styleId="Heading3">
    <w:name w:val="Heading 3"/>
    <w:basedOn w:val="Normal"/>
    <w:next w:val="Normal"/>
    <w:qFormat/>
    <w:pPr>
      <w:keepNext/>
      <w:spacing w:before="120" w:after="120" w:line="240"/>
      <w:outlineLvl w:val="2"/>
    </w:pPr>
    <w:rPr>
      <w:b/>
      <w:bCs/>
      <w:color w:val="000000"/>
      <w:sz w:val="26"/>
      <w:szCs w:val="26"/>
      <w:rFonts w:ascii="Times New Roman" w:cs="Times New Roman" w:eastAsia="Times New Roman" w:hAnsi="Times New Roman"/>
    </w:rPr>
  </w:style>
  <w:style w:type="paragraph" w:styleId="Heading4">
    <w:name w:val="Heading 4"/>
    <w:basedOn w:val="Normal"/>
    <w:next w:val="Normal"/>
    <w:qFormat/>
    <w:pPr>
      <w:keepNext/>
      <w:spacing w:before="120" w:after="120" w:line="240"/>
      <w:outlineLvl w:val="3"/>
    </w:pPr>
    <w:rPr>
      <w:b/>
      <w:bCs/>
      <w:color w:val="000000"/>
      <w:sz w:val="24"/>
      <w:szCs w:val="24"/>
      <w:rFonts w:ascii="Times New Roman" w:cs="Times New Roman" w:eastAsia="Times New Roman" w:hAnsi="Times New Roman"/>
    </w:rPr>
  </w:style>
  <w:style w:type="paragraph" w:styleId="HarveyCellOnDark">
    <w:name w:val="Harvey Cell On Dark"/>
    <w:basedOn w:val="Normal"/>
    <w:rPr>
      <w:color w:val="FFFFFF"/>
    </w:rPr>
  </w:style>
  <w:style w:type="paragraph" w:styleId="TOCHeading">
    <w:name w:val="TOC Heading"/>
    <w:basedOn w:val="Normal"/>
    <w:next w:val="Normal"/>
    <w:pPr>
      <w:spacing w:after="240"/>
    </w:pPr>
    <w:rPr>
      <w:b/>
      <w:bCs/>
      <w:color w:val="000000"/>
      <w:sz w:val="28"/>
      <w:szCs w:val="28"/>
      <w:rFonts w:ascii="Times New Roman" w:cs="Times New Roman" w:eastAsia="Times New Roman" w:hAnsi="Times New Roman"/>
    </w:rPr>
  </w:style>
  <w:style w:type="paragraph" w:styleId="TOC1">
    <w:name w:val="toc 1"/>
    <w:basedOn w:val="Normal"/>
    <w:next w:val="Normal"/>
    <w:pPr>
      <w:tabs>
        <w:tab w:val="right" w:pos="9026" w:leader="dot"/>
      </w:tabs>
      <w:spacing w:after="60"/>
      <w:ind w:left="0"/>
    </w:pPr>
  </w:style>
  <w:style w:type="paragraph" w:styleId="TOC2">
    <w:name w:val="toc 2"/>
    <w:basedOn w:val="Normal"/>
    <w:next w:val="Normal"/>
    <w:pPr>
      <w:tabs>
        <w:tab w:val="right" w:pos="9026" w:leader="dot"/>
      </w:tabs>
      <w:spacing w:after="60"/>
      <w:ind w:left="360"/>
    </w:pPr>
  </w:style>
  <w:style w:type="paragraph" w:styleId="TOC3">
    <w:name w:val="toc 3"/>
    <w:basedOn w:val="Normal"/>
    <w:next w:val="Normal"/>
    <w:pPr>
      <w:tabs>
        <w:tab w:val="right" w:pos="9026" w:leader="dot"/>
      </w:tabs>
      <w:spacing w:after="60"/>
      <w:ind w:left="720"/>
    </w:pPr>
  </w:style>
  <w:style w:type="paragraph" w:styleId="TOC4">
    <w:name w:val="toc 4"/>
    <w:basedOn w:val="Normal"/>
    <w:next w:val="Normal"/>
    <w:pPr>
      <w:tabs>
        <w:tab w:val="right" w:pos="9026" w:leader="dot"/>
      </w:tabs>
      <w:spacing w:after="60"/>
      <w:ind w:left="1080"/>
    </w:pPr>
  </w:style>
  <w:style w:type="paragraph" w:styleId="TOC5">
    <w:name w:val="toc 5"/>
    <w:basedOn w:val="Normal"/>
    <w:next w:val="Normal"/>
    <w:pPr>
      <w:tabs>
        <w:tab w:val="right" w:pos="9026" w:leader="dot"/>
      </w:tabs>
      <w:spacing w:after="60"/>
      <w:ind w:left="1440"/>
    </w:pPr>
  </w:style>
  <w:style w:type="paragraph" w:styleId="TOC6">
    <w:name w:val="toc 6"/>
    <w:basedOn w:val="Normal"/>
    <w:next w:val="Normal"/>
    <w:pPr>
      <w:tabs>
        <w:tab w:val="right" w:pos="9026" w:leader="dot"/>
      </w:tabs>
      <w:spacing w:after="60"/>
      <w:ind w:left="1800"/>
    </w:pPr>
  </w:style>
  <w:style w:type="paragraph" w:styleId="TOC7">
    <w:name w:val="toc 7"/>
    <w:basedOn w:val="Normal"/>
    <w:next w:val="Normal"/>
    <w:pPr>
      <w:tabs>
        <w:tab w:val="right" w:pos="9026" w:leader="dot"/>
      </w:tabs>
      <w:spacing w:after="60"/>
      <w:ind w:left="2160"/>
    </w:pPr>
  </w:style>
  <w:style w:type="paragraph" w:styleId="TOC8">
    <w:name w:val="toc 8"/>
    <w:basedOn w:val="Normal"/>
    <w:next w:val="Normal"/>
    <w:pPr>
      <w:tabs>
        <w:tab w:val="right" w:pos="9026" w:leader="dot"/>
      </w:tabs>
      <w:spacing w:after="60"/>
      <w:ind w:left="2520"/>
    </w:pPr>
  </w:style>
  <w:style w:type="paragraph" w:styleId="TOC9">
    <w:name w:val="toc 9"/>
    <w:basedOn w:val="Normal"/>
    <w:next w:val="Normal"/>
    <w:pPr>
      <w:tabs>
        <w:tab w:val="right" w:pos="9026" w:leader="dot"/>
      </w:tabs>
      <w:spacing w:after="60"/>
      <w:ind w:left="28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 Chandler</dc:creator>
  <cp:lastModifiedBy>Un-named</cp:lastModifiedBy>
  <cp:revision>1</cp:revision>
  <dcterms:created xsi:type="dcterms:W3CDTF">2026-11-04T12:19:22Z</dcterms:created>
  <dcterms:modified xsi:type="dcterms:W3CDTF">2026-11-04T12:19:22Z</dcterms:modified>
  <dc:description/>
</cp:coreProperties>
</file>

<file path=docProps/custom.xml><?xml version="1.0" encoding="utf-8"?>
<cp:Properties xmlns:cp="http://schemas.openxmlformats.org/officeDocument/2006/custom-properties" xmlns:vt="http://schemas.openxmlformats.org/officeDocument/2006/docPropsVTypes">
  <cp:property fmtid="{D5CDD505-2E9C-101B-9397-08002B2CF9AE}" pid="2" name="hydoc961a2f758dd6e52a">
    <vt:lpwstr>01a1a6c2-78fa-7729-9e9a-521ba13e3a0b</vt:lpwstr>
  </cp:property>
</cp:Properties>
</file>