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rPr>
          <w:b/>
          <w:bCs/>
          <w:sz w:val="32"/>
          <w:szCs w:val="32"/>
        </w:rPr>
        <w:t xml:space="preserve">THE POWER TO INVESTIGATE</w:t>
      </w:r>
    </w:p>
    <w:p>
      <w:pPr>
        <w:jc w:val="center"/>
      </w:pPr>
      <w:r>
        <w:rPr>
          <w:i/>
          <w:iCs/>
        </w:rPr>
        <w:t xml:space="preserve">Production Screenplay: A 15-Minute Animated Explainer for Law Students</w:t>
      </w:r>
    </w:p>
    <w:p>
      <w:pPr>
        <w:spacing w:after="280"/>
        <w:jc w:val="center"/>
      </w:pPr>
      <w:r>
        <w:rPr>
          <w:i/>
          <w:iCs/>
        </w:rPr>
        <w:t xml:space="preserve">Based on the lecture “Congress’s Power to Investigate and Its Limits” · University of Houston Law Center</w:t>
      </w:r>
    </w:p>
    <w:p>
      <w:pPr>
        <w:pStyle w:val="Heading1"/>
      </w:pPr>
      <w:r>
        <w:t xml:space="preserve">Production Bible</w:t>
      </w:r>
    </w:p>
    <w:p>
      <w:pPr>
        <w:pStyle w:val="Heading2"/>
      </w:pPr>
      <w:r>
        <w:t xml:space="preserve">Format and Timing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25"/>
        <w:gridCol w:w="6435"/>
      </w:tblGrid>
      <w:tr>
        <w:trPr>
          <w:cantSplit/>
          <w:tblHeader w:val="false"/>
        </w:trPr>
        <w:tc>
          <w:tcPr>
            <w:tcW w:type="dxa" w:w="2925"/>
            <w:tcBorders>
              <w:top w:val="single" w:color="000000" w:sz="2"/>
              <w:left w:val="single" w:color="000000" w:sz="2"/>
              <w:bottom w:val="single" w:color="000000" w:sz="2"/>
              <w:right w:val="single" w:color="000000" w:sz="2"/>
            </w:tcBorders>
            <w:shd w:fill="F2F2F2" w:color="auto" w:val="clear"/>
            <w:tcMar>
              <w:top w:type="dxa" w:w="80"/>
              <w:left w:type="dxa" w:w="120"/>
              <w:bottom w:type="dxa" w:w="80"/>
              <w:right w:type="dxa" w:w="120"/>
            </w:tcMar>
            <w:vAlign w:val="center"/>
          </w:tcPr>
          <w:p>
            <w:pPr>
              <w:spacing w:after="0"/>
              <w:jc w:val="left"/>
            </w:pPr>
            <w:r>
              <w:rPr>
                <w:b/>
                <w:bCs/>
              </w:rPr>
              <w:t xml:space="preserve">Runtime target</w:t>
            </w:r>
          </w:p>
        </w:tc>
        <w:tc>
          <w:tcPr>
            <w:tcW w:type="dxa" w:w="6435"/>
            <w:tcBorders>
              <w:top w:val="single" w:color="000000" w:sz="2"/>
              <w:left w:val="single" w:color="000000" w:sz="2"/>
              <w:bottom w:val="single" w:color="000000" w:sz="2"/>
              <w:right w:val="single" w:color="000000" w:sz="2"/>
            </w:tcBorders>
            <w:tcMar>
              <w:top w:type="dxa" w:w="80"/>
              <w:left w:type="dxa" w:w="120"/>
              <w:bottom w:type="dxa" w:w="80"/>
              <w:right w:type="dxa" w:w="120"/>
            </w:tcMar>
            <w:vAlign w:val="center"/>
          </w:tcPr>
          <w:p>
            <w:pPr>
              <w:spacing w:after="0"/>
              <w:jc w:val="left"/>
            </w:pPr>
            <w:r>
              <w:t xml:space="preserve">15:00 (12 scenes)</w:t>
            </w:r>
          </w:p>
        </w:tc>
      </w:tr>
      <w:tr>
        <w:trPr>
          <w:cantSplit/>
          <w:tblHeader w:val="false"/>
        </w:trPr>
        <w:tc>
          <w:tcPr>
            <w:tcW w:type="dxa" w:w="2925"/>
            <w:tcBorders>
              <w:top w:val="single" w:color="000000" w:sz="2"/>
              <w:left w:val="single" w:color="000000" w:sz="2"/>
              <w:bottom w:val="single" w:color="000000" w:sz="2"/>
              <w:right w:val="single" w:color="000000" w:sz="2"/>
            </w:tcBorders>
            <w:shd w:fill="F2F2F2" w:color="auto" w:val="clear"/>
            <w:tcMar>
              <w:top w:type="dxa" w:w="80"/>
              <w:left w:type="dxa" w:w="120"/>
              <w:bottom w:type="dxa" w:w="80"/>
              <w:right w:type="dxa" w:w="120"/>
            </w:tcMar>
            <w:vAlign w:val="center"/>
          </w:tcPr>
          <w:p>
            <w:pPr>
              <w:spacing w:after="0"/>
              <w:jc w:val="left"/>
            </w:pPr>
            <w:r>
              <w:rPr>
                <w:b/>
                <w:bCs/>
              </w:rPr>
              <w:t xml:space="preserve">Narration pace</w:t>
            </w:r>
          </w:p>
        </w:tc>
        <w:tc>
          <w:tcPr>
            <w:tcW w:type="dxa" w:w="6435"/>
            <w:tcBorders>
              <w:top w:val="single" w:color="000000" w:sz="2"/>
              <w:left w:val="single" w:color="000000" w:sz="2"/>
              <w:bottom w:val="single" w:color="000000" w:sz="2"/>
              <w:right w:val="single" w:color="000000" w:sz="2"/>
            </w:tcBorders>
            <w:tcMar>
              <w:top w:type="dxa" w:w="80"/>
              <w:left w:type="dxa" w:w="120"/>
              <w:bottom w:type="dxa" w:w="80"/>
              <w:right w:type="dxa" w:w="120"/>
            </w:tcMar>
            <w:vAlign w:val="center"/>
          </w:tcPr>
          <w:p>
            <w:pPr>
              <w:spacing w:after="0"/>
              <w:jc w:val="left"/>
            </w:pPr>
            <w:r>
              <w:t xml:space="preserve">About 150 words per minute; total narration about 1806 words (about 12.0 minutes), with remaining time used by pauses, quote holds, and music beats</w:t>
            </w:r>
          </w:p>
        </w:tc>
      </w:tr>
      <w:tr>
        <w:trPr>
          <w:cantSplit/>
          <w:tblHeader w:val="false"/>
        </w:trPr>
        <w:tc>
          <w:tcPr>
            <w:tcW w:type="dxa" w:w="2925"/>
            <w:tcBorders>
              <w:top w:val="single" w:color="000000" w:sz="2"/>
              <w:left w:val="single" w:color="000000" w:sz="2"/>
              <w:bottom w:val="single" w:color="000000" w:sz="2"/>
              <w:right w:val="single" w:color="000000" w:sz="2"/>
            </w:tcBorders>
            <w:shd w:fill="F2F2F2" w:color="auto" w:val="clear"/>
            <w:tcMar>
              <w:top w:type="dxa" w:w="80"/>
              <w:left w:type="dxa" w:w="120"/>
              <w:bottom w:type="dxa" w:w="80"/>
              <w:right w:type="dxa" w:w="120"/>
            </w:tcMar>
            <w:vAlign w:val="center"/>
          </w:tcPr>
          <w:p>
            <w:pPr>
              <w:spacing w:after="0"/>
              <w:jc w:val="left"/>
            </w:pPr>
            <w:r>
              <w:rPr>
                <w:b/>
                <w:bCs/>
              </w:rPr>
              <w:t xml:space="preserve">Resolution / frame rate</w:t>
            </w:r>
          </w:p>
        </w:tc>
        <w:tc>
          <w:tcPr>
            <w:tcW w:type="dxa" w:w="6435"/>
            <w:tcBorders>
              <w:top w:val="single" w:color="000000" w:sz="2"/>
              <w:left w:val="single" w:color="000000" w:sz="2"/>
              <w:bottom w:val="single" w:color="000000" w:sz="2"/>
              <w:right w:val="single" w:color="000000" w:sz="2"/>
            </w:tcBorders>
            <w:tcMar>
              <w:top w:type="dxa" w:w="80"/>
              <w:left w:type="dxa" w:w="120"/>
              <w:bottom w:type="dxa" w:w="80"/>
              <w:right w:type="dxa" w:w="120"/>
            </w:tcMar>
            <w:vAlign w:val="center"/>
          </w:tcPr>
          <w:p>
            <w:pPr>
              <w:spacing w:after="0"/>
              <w:jc w:val="left"/>
            </w:pPr>
            <w:r>
              <w:t xml:space="preserve">1920 × 1080, 60 fps (Manim: config.pixel_width=1920, pixel_height=1080, frame_rate=60)</w:t>
            </w:r>
          </w:p>
        </w:tc>
      </w:tr>
      <w:tr>
        <w:trPr>
          <w:cantSplit/>
          <w:tblHeader w:val="false"/>
        </w:trPr>
        <w:tc>
          <w:tcPr>
            <w:tcW w:type="dxa" w:w="2925"/>
            <w:tcBorders>
              <w:top w:val="single" w:color="000000" w:sz="2"/>
              <w:left w:val="single" w:color="000000" w:sz="2"/>
              <w:bottom w:val="single" w:color="000000" w:sz="2"/>
              <w:right w:val="single" w:color="000000" w:sz="2"/>
            </w:tcBorders>
            <w:shd w:fill="F2F2F2" w:color="auto" w:val="clear"/>
            <w:tcMar>
              <w:top w:type="dxa" w:w="80"/>
              <w:left w:type="dxa" w:w="120"/>
              <w:bottom w:type="dxa" w:w="80"/>
              <w:right w:type="dxa" w:w="120"/>
            </w:tcMar>
            <w:vAlign w:val="center"/>
          </w:tcPr>
          <w:p>
            <w:pPr>
              <w:spacing w:after="0"/>
              <w:jc w:val="left"/>
            </w:pPr>
            <w:r>
              <w:rPr>
                <w:b/>
                <w:bCs/>
              </w:rPr>
              <w:t xml:space="preserve">Animation engine</w:t>
            </w:r>
          </w:p>
        </w:tc>
        <w:tc>
          <w:tcPr>
            <w:tcW w:type="dxa" w:w="6435"/>
            <w:tcBorders>
              <w:top w:val="single" w:color="000000" w:sz="2"/>
              <w:left w:val="single" w:color="000000" w:sz="2"/>
              <w:bottom w:val="single" w:color="000000" w:sz="2"/>
              <w:right w:val="single" w:color="000000" w:sz="2"/>
            </w:tcBorders>
            <w:tcMar>
              <w:top w:type="dxa" w:w="80"/>
              <w:left w:type="dxa" w:w="120"/>
              <w:bottom w:type="dxa" w:w="80"/>
              <w:right w:type="dxa" w:w="120"/>
            </w:tcMar>
            <w:vAlign w:val="center"/>
          </w:tcPr>
          <w:p>
            <w:pPr>
              <w:spacing w:after="0"/>
              <w:jc w:val="left"/>
            </w:pPr>
            <w:r>
              <w:t xml:space="preserve">Manim Community Edition, scenes rendered separately and assembled in an editor</w:t>
            </w:r>
          </w:p>
        </w:tc>
      </w:tr>
      <w:tr>
        <w:trPr>
          <w:cantSplit/>
          <w:tblHeader w:val="false"/>
        </w:trPr>
        <w:tc>
          <w:tcPr>
            <w:tcW w:type="dxa" w:w="2925"/>
            <w:tcBorders>
              <w:top w:val="single" w:color="000000" w:sz="2"/>
              <w:left w:val="single" w:color="000000" w:sz="2"/>
              <w:bottom w:val="single" w:color="000000" w:sz="2"/>
              <w:right w:val="single" w:color="000000" w:sz="2"/>
            </w:tcBorders>
            <w:shd w:fill="F2F2F2" w:color="auto" w:val="clear"/>
            <w:tcMar>
              <w:top w:type="dxa" w:w="80"/>
              <w:left w:type="dxa" w:w="120"/>
              <w:bottom w:type="dxa" w:w="80"/>
              <w:right w:type="dxa" w:w="120"/>
            </w:tcMar>
            <w:vAlign w:val="center"/>
          </w:tcPr>
          <w:p>
            <w:pPr>
              <w:spacing w:after="0"/>
              <w:jc w:val="left"/>
            </w:pPr>
            <w:r>
              <w:rPr>
                <w:b/>
                <w:bCs/>
              </w:rPr>
              <w:t xml:space="preserve">Voice-over</w:t>
            </w:r>
          </w:p>
        </w:tc>
        <w:tc>
          <w:tcPr>
            <w:tcW w:type="dxa" w:w="6435"/>
            <w:tcBorders>
              <w:top w:val="single" w:color="000000" w:sz="2"/>
              <w:left w:val="single" w:color="000000" w:sz="2"/>
              <w:bottom w:val="single" w:color="000000" w:sz="2"/>
              <w:right w:val="single" w:color="000000" w:sz="2"/>
            </w:tcBorders>
            <w:tcMar>
              <w:top w:type="dxa" w:w="80"/>
              <w:left w:type="dxa" w:w="120"/>
              <w:bottom w:type="dxa" w:w="80"/>
              <w:right w:type="dxa" w:w="120"/>
            </w:tcMar>
            <w:vAlign w:val="center"/>
          </w:tcPr>
          <w:p>
            <w:pPr>
              <w:spacing w:after="0"/>
              <w:jc w:val="left"/>
            </w:pPr>
            <w:r>
              <w:t xml:space="preserve">Cartesia text-to-speech (see Voice-Over Specification)</w:t>
            </w:r>
          </w:p>
        </w:tc>
      </w:tr>
    </w:tbl>
    <w:p>
      <w:pPr>
        <w:pStyle w:val="Heading2"/>
      </w:pPr>
      <w:r>
        <w:t xml:space="preserve">Visual Style (3Blue1Brown-Inspired)</w:t>
      </w:r>
    </w:p>
    <w:p>
      <w:pPr>
        <w:pStyle w:val="ListParagraph"/>
        <w:numPr>
          <w:ilvl w:val="0"/>
          <w:numId w:val="2"/>
        </w:numPr>
        <w:spacing w:after="120"/>
      </w:pPr>
      <w:r>
        <w:t xml:space="preserve">Background: deep navy-black (#0F1621). Primary text: off-white (#ECECEC). Accent palette: gold (#E8B04B) for key terms and quotes, teal (#3FB8AF) for Congress, coral (#E8685A) for the Executive, soft violet (#9B8CE8) for the Courts. Keep color meanings consistent across every scene.</w:t>
      </w:r>
    </w:p>
    <w:p>
      <w:pPr>
        <w:pStyle w:val="ListParagraph"/>
        <w:numPr>
          <w:ilvl w:val="0"/>
          <w:numId w:val="2"/>
        </w:numPr>
        <w:spacing w:after="120"/>
      </w:pPr>
      <w:r>
        <w:t xml:space="preserve">Motion grammar: Write() for titles and quote text, FadeIn with a slight upward shift for labels, Transform/ReplacementTransform for ideas that evolve, Indicate() or a gold glow to emphasize a word as it is spoken. Use smooth rate functions; avoid abrupt cuts.</w:t>
      </w:r>
    </w:p>
    <w:p>
      <w:pPr>
        <w:pStyle w:val="ListParagraph"/>
        <w:numPr>
          <w:ilvl w:val="0"/>
          <w:numId w:val="2"/>
        </w:numPr>
        <w:spacing w:after="120"/>
      </w:pPr>
      <w:r>
        <w:t xml:space="preserve">Typography: a clean sans serif (for example Inter or Source Sans) for labels; a serif (for example EB Garamond or Libre Baskerville) for case quotations. Case names in italics.</w:t>
      </w:r>
    </w:p>
    <w:p>
      <w:pPr>
        <w:pStyle w:val="ListParagraph"/>
        <w:numPr>
          <w:ilvl w:val="0"/>
          <w:numId w:val="2"/>
        </w:numPr>
        <w:spacing w:after="120"/>
      </w:pPr>
      <w:r>
        <w:t xml:space="preserve">Keep the screen uncluttered: no more than about 25 words of on-screen text at once, except quote cards.</w:t>
      </w:r>
    </w:p>
    <w:p>
      <w:pPr>
        <w:pStyle w:val="ListParagraph"/>
        <w:numPr>
          <w:ilvl w:val="0"/>
          <w:numId w:val="2"/>
        </w:numPr>
        <w:spacing w:after="120"/>
      </w:pPr>
      <w:r>
        <w:t xml:space="preserve">Sync rule: every visual beat listed below should land on the narration phrase it accompanies. Use the voice-over timestamps (from Cartesia word-level timestamps, if enabled) to place animations.</w:t>
      </w:r>
    </w:p>
    <w:p>
      <w:pPr>
        <w:pStyle w:val="Heading2"/>
      </w:pPr>
      <w:r>
        <w:t xml:space="preserve">Quote Card Template</w:t>
      </w:r>
    </w:p>
    <w:p>
      <w:pPr>
        <w:pStyle w:val="ListParagraph"/>
        <w:numPr>
          <w:ilvl w:val="0"/>
          <w:numId w:val="2"/>
        </w:numPr>
        <w:spacing w:after="120"/>
      </w:pPr>
      <w:r>
        <w:t xml:space="preserve">Dim the current scene to 25% opacity. A thin gold rule draws across the upper third of the frame.</w:t>
      </w:r>
    </w:p>
    <w:p>
      <w:pPr>
        <w:pStyle w:val="ListParagraph"/>
        <w:numPr>
          <w:ilvl w:val="0"/>
          <w:numId w:val="2"/>
        </w:numPr>
        <w:spacing w:after="120"/>
      </w:pPr>
      <w:r>
        <w:t xml:space="preserve">Quotation text writes on in the serif font, 44 to 52 pt, off-white, with large gold quotation marks animated in first.</w:t>
      </w:r>
    </w:p>
    <w:p>
      <w:pPr>
        <w:pStyle w:val="ListParagraph"/>
        <w:numPr>
          <w:ilvl w:val="0"/>
          <w:numId w:val="2"/>
        </w:numPr>
        <w:spacing w:after="120"/>
      </w:pPr>
      <w:r>
        <w:t xml:space="preserve">Attribution (case name in italics and year) fades in beneath, right-aligned, in gold, 28 pt.</w:t>
      </w:r>
    </w:p>
    <w:p>
      <w:pPr>
        <w:pStyle w:val="ListParagraph"/>
        <w:numPr>
          <w:ilvl w:val="0"/>
          <w:numId w:val="2"/>
        </w:numPr>
        <w:spacing w:after="120"/>
      </w:pPr>
      <w:r>
        <w:t xml:space="preserve">The specific quoted words should highlight in gold as the narrator speaks them.</w:t>
      </w:r>
    </w:p>
    <w:p>
      <w:pPr>
        <w:pStyle w:val="ListParagraph"/>
        <w:numPr>
          <w:ilvl w:val="0"/>
          <w:numId w:val="2"/>
        </w:numPr>
        <w:spacing w:after="120"/>
      </w:pPr>
      <w:r>
        <w:t xml:space="preserve">Hold on screen for at least 2 seconds after the narrator finishes the quotation, then fade out.</w:t>
      </w:r>
    </w:p>
    <w:p>
      <w:pPr>
        <w:pStyle w:val="Heading2"/>
      </w:pPr>
      <w:r>
        <w:t xml:space="preserve">Ken Burns Shots</w:t>
      </w:r>
    </w:p>
    <w:p>
      <w:pPr>
        <w:pStyle w:val="ListParagraph"/>
        <w:numPr>
          <w:ilvl w:val="0"/>
          <w:numId w:val="2"/>
        </w:numPr>
        <w:spacing w:after="120"/>
      </w:pPr>
      <w:r>
        <w:t xml:space="preserve">Use slow pans and zooms (scale 1.0 to about 1.15 over 6 to 10 seconds) with a subtle vignette and a light film grain overlay.</w:t>
      </w:r>
    </w:p>
    <w:p>
      <w:pPr>
        <w:pStyle w:val="ListParagraph"/>
        <w:numPr>
          <w:ilvl w:val="0"/>
          <w:numId w:val="2"/>
        </w:numPr>
        <w:spacing w:after="120"/>
      </w:pPr>
      <w:r>
        <w:t xml:space="preserve">Preferred sources: Library of Congress and National Archives digital collections. The production team must confirm public domain or licensing status for each image before use and record the source in a credits file.</w:t>
      </w:r>
    </w:p>
    <w:p>
      <w:pPr>
        <w:pStyle w:val="ListParagraph"/>
        <w:numPr>
          <w:ilvl w:val="0"/>
          <w:numId w:val="2"/>
        </w:numPr>
        <w:spacing w:after="120"/>
      </w:pPr>
      <w:r>
        <w:t xml:space="preserve">Apply a gentle color grade toward the navy palette so photographs blend with the animated scenes.</w:t>
      </w:r>
    </w:p>
    <w:p>
      <w:pPr>
        <w:pStyle w:val="Heading2"/>
      </w:pPr>
      <w:r>
        <w:t xml:space="preserve">Voice-Over Specification (Cartesia)</w:t>
      </w:r>
    </w:p>
    <w:p>
      <w:pPr>
        <w:pStyle w:val="ListParagraph"/>
        <w:numPr>
          <w:ilvl w:val="0"/>
          <w:numId w:val="2"/>
        </w:numPr>
        <w:spacing w:after="120"/>
      </w:pPr>
      <w:r>
        <w:t xml:space="preserve">Voice: a warm, clear, mid-range professorial voice with an American accent. Tone: engaged and conversational, not theatrical.</w:t>
      </w:r>
    </w:p>
    <w:p>
      <w:pPr>
        <w:pStyle w:val="ListParagraph"/>
        <w:numPr>
          <w:ilvl w:val="0"/>
          <w:numId w:val="2"/>
        </w:numPr>
        <w:spacing w:after="120"/>
      </w:pPr>
      <w:r>
        <w:t xml:space="preserve">Speed: normal (target about 150 wpm). Generate each scene as a separate audio file named scene_01.wav, scene_02.wav, and so on, so timing can be adjusted per scene.</w:t>
      </w:r>
    </w:p>
    <w:p>
      <w:pPr>
        <w:pStyle w:val="ListParagraph"/>
        <w:numPr>
          <w:ilvl w:val="0"/>
          <w:numId w:val="2"/>
        </w:numPr>
        <w:spacing w:after="120"/>
      </w:pPr>
      <w:r>
        <w:t xml:space="preserve">Pauses are marked in the narration as &lt;break time="..."/&gt; tags. If the Cartesia model or integration in use does not support break tags, replace each tag with a sentence break or insert silence of the stated length in editing.</w:t>
      </w:r>
    </w:p>
    <w:p>
      <w:pPr>
        <w:pStyle w:val="ListParagraph"/>
        <w:numPr>
          <w:ilvl w:val="0"/>
          <w:numId w:val="2"/>
        </w:numPr>
        <w:spacing w:after="120"/>
      </w:pPr>
      <w:r>
        <w:t xml:space="preserve">Narration text is written for the ear: statute citations and abbreviations are spelled out. Do not read on-screen text that is not in the narration.</w:t>
      </w:r>
    </w:p>
    <w:p>
      <w:pPr>
        <w:pStyle w:val="ListParagraph"/>
        <w:numPr>
          <w:ilvl w:val="0"/>
          <w:numId w:val="2"/>
        </w:numPr>
        <w:spacing w:after="120"/>
      </w:pPr>
      <w:r>
        <w:t xml:space="preserve">Request word-level timestamps if available to drive animation sync.</w:t>
      </w:r>
    </w:p>
    <w:p>
      <w:pPr>
        <w:pStyle w:val="Heading2"/>
      </w:pPr>
      <w:r>
        <w:t xml:space="preserve">Pronunciation Guide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rPr>
          <w:cantSplit/>
          <w:tblHeader/>
        </w:trPr>
        <w:tc>
          <w:tcPr>
            <w:tcW w:type="dxa" w:w="3120"/>
            <w:tcBorders>
              <w:top w:val="single" w:color="000000" w:sz="2"/>
              <w:left w:val="single" w:color="000000" w:sz="2"/>
              <w:bottom w:val="single" w:color="000000" w:sz="2"/>
              <w:right w:val="single" w:color="000000" w:sz="2"/>
            </w:tcBorders>
            <w:shd w:fill="D3D3D3" w:color="auto" w:val="clear"/>
            <w:tcMar>
              <w:top w:type="dxa" w:w="80"/>
              <w:left w:type="dxa" w:w="120"/>
              <w:bottom w:type="dxa" w:w="80"/>
              <w:right w:type="dxa" w:w="120"/>
            </w:tcMar>
            <w:vAlign w:val="center"/>
          </w:tcPr>
          <w:p>
            <w:pPr>
              <w:spacing w:after="0"/>
              <w:jc w:val="left"/>
            </w:pPr>
            <w:r>
              <w:rPr>
                <w:b/>
                <w:bCs/>
              </w:rPr>
              <w:t xml:space="preserve">Term</w:t>
            </w:r>
          </w:p>
        </w:tc>
        <w:tc>
          <w:tcPr>
            <w:tcW w:type="dxa" w:w="6240"/>
            <w:tcBorders>
              <w:top w:val="single" w:color="000000" w:sz="2"/>
              <w:left w:val="single" w:color="000000" w:sz="2"/>
              <w:bottom w:val="single" w:color="000000" w:sz="2"/>
              <w:right w:val="single" w:color="000000" w:sz="2"/>
            </w:tcBorders>
            <w:shd w:fill="D3D3D3" w:color="auto" w:val="clear"/>
            <w:tcMar>
              <w:top w:type="dxa" w:w="80"/>
              <w:left w:type="dxa" w:w="120"/>
              <w:bottom w:type="dxa" w:w="80"/>
              <w:right w:type="dxa" w:w="120"/>
            </w:tcMar>
            <w:vAlign w:val="center"/>
          </w:tcPr>
          <w:p>
            <w:pPr>
              <w:spacing w:after="0"/>
              <w:jc w:val="left"/>
            </w:pPr>
            <w:r>
              <w:rPr>
                <w:b/>
                <w:bCs/>
              </w:rPr>
              <w:t xml:space="preserve">Pronunciation</w:t>
            </w:r>
          </w:p>
        </w:tc>
      </w:tr>
      <w:tr>
        <w:trPr>
          <w:cantSplit/>
          <w:tblHeader w:val="false"/>
        </w:trPr>
        <w:tc>
          <w:tcPr>
            <w:tcW w:type="dxa" w:w="3120"/>
            <w:tcBorders>
              <w:top w:val="single" w:color="000000" w:sz="2"/>
              <w:left w:val="single" w:color="000000" w:sz="2"/>
              <w:bottom w:val="single" w:color="000000" w:sz="2"/>
              <w:right w:val="single" w:color="000000" w:sz="2"/>
            </w:tcBorders>
            <w:tcMar>
              <w:top w:type="dxa" w:w="80"/>
              <w:left w:type="dxa" w:w="120"/>
              <w:bottom w:type="dxa" w:w="80"/>
              <w:right w:type="dxa" w:w="120"/>
            </w:tcMar>
            <w:vAlign w:val="center"/>
          </w:tcPr>
          <w:p>
            <w:pPr>
              <w:spacing w:after="0"/>
              <w:jc w:val="left"/>
            </w:pPr>
            <w:r>
              <w:t xml:space="preserve">McGrain</w:t>
            </w:r>
          </w:p>
        </w:tc>
        <w:tc>
          <w:tcPr>
            <w:tcW w:type="dxa" w:w="6240"/>
            <w:tcBorders>
              <w:top w:val="single" w:color="000000" w:sz="2"/>
              <w:left w:val="single" w:color="000000" w:sz="2"/>
              <w:bottom w:val="single" w:color="000000" w:sz="2"/>
              <w:right w:val="single" w:color="000000" w:sz="2"/>
            </w:tcBorders>
            <w:tcMar>
              <w:top w:type="dxa" w:w="80"/>
              <w:left w:type="dxa" w:w="120"/>
              <w:bottom w:type="dxa" w:w="80"/>
              <w:right w:type="dxa" w:w="120"/>
            </w:tcMar>
            <w:vAlign w:val="center"/>
          </w:tcPr>
          <w:p>
            <w:pPr>
              <w:spacing w:after="0"/>
              <w:jc w:val="left"/>
            </w:pPr>
            <w:r>
              <w:t xml:space="preserve">muh-GRAIN</w:t>
            </w:r>
          </w:p>
        </w:tc>
      </w:tr>
      <w:tr>
        <w:trPr>
          <w:cantSplit/>
          <w:tblHeader w:val="false"/>
        </w:trPr>
        <w:tc>
          <w:tcPr>
            <w:tcW w:type="dxa" w:w="3120"/>
            <w:tcBorders>
              <w:top w:val="single" w:color="000000" w:sz="2"/>
              <w:left w:val="single" w:color="000000" w:sz="2"/>
              <w:bottom w:val="single" w:color="000000" w:sz="2"/>
              <w:right w:val="single" w:color="000000" w:sz="2"/>
            </w:tcBorders>
            <w:tcMar>
              <w:top w:type="dxa" w:w="80"/>
              <w:left w:type="dxa" w:w="120"/>
              <w:bottom w:type="dxa" w:w="80"/>
              <w:right w:type="dxa" w:w="120"/>
            </w:tcMar>
            <w:vAlign w:val="center"/>
          </w:tcPr>
          <w:p>
            <w:pPr>
              <w:spacing w:after="0"/>
              <w:jc w:val="left"/>
            </w:pPr>
            <w:r>
              <w:t xml:space="preserve">Daugherty</w:t>
            </w:r>
          </w:p>
        </w:tc>
        <w:tc>
          <w:tcPr>
            <w:tcW w:type="dxa" w:w="6240"/>
            <w:tcBorders>
              <w:top w:val="single" w:color="000000" w:sz="2"/>
              <w:left w:val="single" w:color="000000" w:sz="2"/>
              <w:bottom w:val="single" w:color="000000" w:sz="2"/>
              <w:right w:val="single" w:color="000000" w:sz="2"/>
            </w:tcBorders>
            <w:tcMar>
              <w:top w:type="dxa" w:w="80"/>
              <w:left w:type="dxa" w:w="120"/>
              <w:bottom w:type="dxa" w:w="80"/>
              <w:right w:type="dxa" w:w="120"/>
            </w:tcMar>
            <w:vAlign w:val="center"/>
          </w:tcPr>
          <w:p>
            <w:pPr>
              <w:spacing w:after="0"/>
              <w:jc w:val="left"/>
            </w:pPr>
            <w:r>
              <w:t xml:space="preserve">DAW-er-tee</w:t>
            </w:r>
          </w:p>
        </w:tc>
      </w:tr>
      <w:tr>
        <w:trPr>
          <w:cantSplit/>
          <w:tblHeader w:val="false"/>
        </w:trPr>
        <w:tc>
          <w:tcPr>
            <w:tcW w:type="dxa" w:w="3120"/>
            <w:tcBorders>
              <w:top w:val="single" w:color="000000" w:sz="2"/>
              <w:left w:val="single" w:color="000000" w:sz="2"/>
              <w:bottom w:val="single" w:color="000000" w:sz="2"/>
              <w:right w:val="single" w:color="000000" w:sz="2"/>
            </w:tcBorders>
            <w:tcMar>
              <w:top w:type="dxa" w:w="80"/>
              <w:left w:type="dxa" w:w="120"/>
              <w:bottom w:type="dxa" w:w="80"/>
              <w:right w:type="dxa" w:w="120"/>
            </w:tcMar>
            <w:vAlign w:val="center"/>
          </w:tcPr>
          <w:p>
            <w:pPr>
              <w:spacing w:after="0"/>
              <w:jc w:val="left"/>
            </w:pPr>
            <w:r>
              <w:t xml:space="preserve">Kilbourn</w:t>
            </w:r>
          </w:p>
        </w:tc>
        <w:tc>
          <w:tcPr>
            <w:tcW w:type="dxa" w:w="6240"/>
            <w:tcBorders>
              <w:top w:val="single" w:color="000000" w:sz="2"/>
              <w:left w:val="single" w:color="000000" w:sz="2"/>
              <w:bottom w:val="single" w:color="000000" w:sz="2"/>
              <w:right w:val="single" w:color="000000" w:sz="2"/>
            </w:tcBorders>
            <w:tcMar>
              <w:top w:type="dxa" w:w="80"/>
              <w:left w:type="dxa" w:w="120"/>
              <w:bottom w:type="dxa" w:w="80"/>
              <w:right w:type="dxa" w:w="120"/>
            </w:tcMar>
            <w:vAlign w:val="center"/>
          </w:tcPr>
          <w:p>
            <w:pPr>
              <w:spacing w:after="0"/>
              <w:jc w:val="left"/>
            </w:pPr>
            <w:r>
              <w:t xml:space="preserve">KILL-born</w:t>
            </w:r>
          </w:p>
        </w:tc>
      </w:tr>
      <w:tr>
        <w:trPr>
          <w:cantSplit/>
          <w:tblHeader w:val="false"/>
        </w:trPr>
        <w:tc>
          <w:tcPr>
            <w:tcW w:type="dxa" w:w="3120"/>
            <w:tcBorders>
              <w:top w:val="single" w:color="000000" w:sz="2"/>
              <w:left w:val="single" w:color="000000" w:sz="2"/>
              <w:bottom w:val="single" w:color="000000" w:sz="2"/>
              <w:right w:val="single" w:color="000000" w:sz="2"/>
            </w:tcBorders>
            <w:tcMar>
              <w:top w:type="dxa" w:w="80"/>
              <w:left w:type="dxa" w:w="120"/>
              <w:bottom w:type="dxa" w:w="80"/>
              <w:right w:type="dxa" w:w="120"/>
            </w:tcMar>
            <w:vAlign w:val="center"/>
          </w:tcPr>
          <w:p>
            <w:pPr>
              <w:spacing w:after="0"/>
              <w:jc w:val="left"/>
            </w:pPr>
            <w:r>
              <w:t xml:space="preserve">Barenblatt</w:t>
            </w:r>
          </w:p>
        </w:tc>
        <w:tc>
          <w:tcPr>
            <w:tcW w:type="dxa" w:w="6240"/>
            <w:tcBorders>
              <w:top w:val="single" w:color="000000" w:sz="2"/>
              <w:left w:val="single" w:color="000000" w:sz="2"/>
              <w:bottom w:val="single" w:color="000000" w:sz="2"/>
              <w:right w:val="single" w:color="000000" w:sz="2"/>
            </w:tcBorders>
            <w:tcMar>
              <w:top w:type="dxa" w:w="80"/>
              <w:left w:type="dxa" w:w="120"/>
              <w:bottom w:type="dxa" w:w="80"/>
              <w:right w:type="dxa" w:w="120"/>
            </w:tcMar>
            <w:vAlign w:val="center"/>
          </w:tcPr>
          <w:p>
            <w:pPr>
              <w:spacing w:after="0"/>
              <w:jc w:val="left"/>
            </w:pPr>
            <w:r>
              <w:t xml:space="preserve">BAIR-en-blat</w:t>
            </w:r>
          </w:p>
        </w:tc>
      </w:tr>
      <w:tr>
        <w:trPr>
          <w:cantSplit/>
          <w:tblHeader w:val="false"/>
        </w:trPr>
        <w:tc>
          <w:tcPr>
            <w:tcW w:type="dxa" w:w="3120"/>
            <w:tcBorders>
              <w:top w:val="single" w:color="000000" w:sz="2"/>
              <w:left w:val="single" w:color="000000" w:sz="2"/>
              <w:bottom w:val="single" w:color="000000" w:sz="2"/>
              <w:right w:val="single" w:color="000000" w:sz="2"/>
            </w:tcBorders>
            <w:tcMar>
              <w:top w:type="dxa" w:w="80"/>
              <w:left w:type="dxa" w:w="120"/>
              <w:bottom w:type="dxa" w:w="80"/>
              <w:right w:type="dxa" w:w="120"/>
            </w:tcMar>
            <w:vAlign w:val="center"/>
          </w:tcPr>
          <w:p>
            <w:pPr>
              <w:spacing w:after="0"/>
              <w:jc w:val="left"/>
            </w:pPr>
            <w:r>
              <w:t xml:space="preserve">Mazars</w:t>
            </w:r>
          </w:p>
        </w:tc>
        <w:tc>
          <w:tcPr>
            <w:tcW w:type="dxa" w:w="6240"/>
            <w:tcBorders>
              <w:top w:val="single" w:color="000000" w:sz="2"/>
              <w:left w:val="single" w:color="000000" w:sz="2"/>
              <w:bottom w:val="single" w:color="000000" w:sz="2"/>
              <w:right w:val="single" w:color="000000" w:sz="2"/>
            </w:tcBorders>
            <w:tcMar>
              <w:top w:type="dxa" w:w="80"/>
              <w:left w:type="dxa" w:w="120"/>
              <w:bottom w:type="dxa" w:w="80"/>
              <w:right w:type="dxa" w:w="120"/>
            </w:tcMar>
            <w:vAlign w:val="center"/>
          </w:tcPr>
          <w:p>
            <w:pPr>
              <w:spacing w:after="0"/>
              <w:jc w:val="left"/>
            </w:pPr>
            <w:r>
              <w:t xml:space="preserve">muh-ZARS</w:t>
            </w:r>
          </w:p>
        </w:tc>
      </w:tr>
      <w:tr>
        <w:trPr>
          <w:cantSplit/>
          <w:tblHeader w:val="false"/>
        </w:trPr>
        <w:tc>
          <w:tcPr>
            <w:tcW w:type="dxa" w:w="3120"/>
            <w:tcBorders>
              <w:top w:val="single" w:color="000000" w:sz="2"/>
              <w:left w:val="single" w:color="000000" w:sz="2"/>
              <w:bottom w:val="single" w:color="000000" w:sz="2"/>
              <w:right w:val="single" w:color="000000" w:sz="2"/>
            </w:tcBorders>
            <w:tcMar>
              <w:top w:type="dxa" w:w="80"/>
              <w:left w:type="dxa" w:w="120"/>
              <w:bottom w:type="dxa" w:w="80"/>
              <w:right w:type="dxa" w:w="120"/>
            </w:tcMar>
            <w:vAlign w:val="center"/>
          </w:tcPr>
          <w:p>
            <w:pPr>
              <w:spacing w:after="0"/>
              <w:jc w:val="left"/>
            </w:pPr>
            <w:r>
              <w:t xml:space="preserve">Miers</w:t>
            </w:r>
          </w:p>
        </w:tc>
        <w:tc>
          <w:tcPr>
            <w:tcW w:type="dxa" w:w="6240"/>
            <w:tcBorders>
              <w:top w:val="single" w:color="000000" w:sz="2"/>
              <w:left w:val="single" w:color="000000" w:sz="2"/>
              <w:bottom w:val="single" w:color="000000" w:sz="2"/>
              <w:right w:val="single" w:color="000000" w:sz="2"/>
            </w:tcBorders>
            <w:tcMar>
              <w:top w:type="dxa" w:w="80"/>
              <w:left w:type="dxa" w:w="120"/>
              <w:bottom w:type="dxa" w:w="80"/>
              <w:right w:type="dxa" w:w="120"/>
            </w:tcMar>
            <w:vAlign w:val="center"/>
          </w:tcPr>
          <w:p>
            <w:pPr>
              <w:spacing w:after="0"/>
              <w:jc w:val="left"/>
            </w:pPr>
            <w:r>
              <w:t xml:space="preserve">MY-erz</w:t>
            </w:r>
          </w:p>
        </w:tc>
      </w:tr>
      <w:tr>
        <w:trPr>
          <w:cantSplit/>
          <w:tblHeader w:val="false"/>
        </w:trPr>
        <w:tc>
          <w:tcPr>
            <w:tcW w:type="dxa" w:w="3120"/>
            <w:tcBorders>
              <w:top w:val="single" w:color="000000" w:sz="2"/>
              <w:left w:val="single" w:color="000000" w:sz="2"/>
              <w:bottom w:val="single" w:color="000000" w:sz="2"/>
              <w:right w:val="single" w:color="000000" w:sz="2"/>
            </w:tcBorders>
            <w:tcMar>
              <w:top w:type="dxa" w:w="80"/>
              <w:left w:type="dxa" w:w="120"/>
              <w:bottom w:type="dxa" w:w="80"/>
              <w:right w:type="dxa" w:w="120"/>
            </w:tcMar>
            <w:vAlign w:val="center"/>
          </w:tcPr>
          <w:p>
            <w:pPr>
              <w:spacing w:after="0"/>
              <w:jc w:val="left"/>
            </w:pPr>
            <w:r>
              <w:t xml:space="preserve">McGahn</w:t>
            </w:r>
          </w:p>
        </w:tc>
        <w:tc>
          <w:tcPr>
            <w:tcW w:type="dxa" w:w="6240"/>
            <w:tcBorders>
              <w:top w:val="single" w:color="000000" w:sz="2"/>
              <w:left w:val="single" w:color="000000" w:sz="2"/>
              <w:bottom w:val="single" w:color="000000" w:sz="2"/>
              <w:right w:val="single" w:color="000000" w:sz="2"/>
            </w:tcBorders>
            <w:tcMar>
              <w:top w:type="dxa" w:w="80"/>
              <w:left w:type="dxa" w:w="120"/>
              <w:bottom w:type="dxa" w:w="80"/>
              <w:right w:type="dxa" w:w="120"/>
            </w:tcMar>
            <w:vAlign w:val="center"/>
          </w:tcPr>
          <w:p>
            <w:pPr>
              <w:spacing w:after="0"/>
              <w:jc w:val="left"/>
            </w:pPr>
            <w:r>
              <w:t xml:space="preserve">mick-GAN</w:t>
            </w:r>
          </w:p>
        </w:tc>
      </w:tr>
      <w:tr>
        <w:trPr>
          <w:cantSplit/>
          <w:tblHeader w:val="false"/>
        </w:trPr>
        <w:tc>
          <w:tcPr>
            <w:tcW w:type="dxa" w:w="3120"/>
            <w:tcBorders>
              <w:top w:val="single" w:color="000000" w:sz="2"/>
              <w:left w:val="single" w:color="000000" w:sz="2"/>
              <w:bottom w:val="single" w:color="000000" w:sz="2"/>
              <w:right w:val="single" w:color="000000" w:sz="2"/>
            </w:tcBorders>
            <w:tcMar>
              <w:top w:type="dxa" w:w="80"/>
              <w:left w:type="dxa" w:w="120"/>
              <w:bottom w:type="dxa" w:w="80"/>
              <w:right w:type="dxa" w:w="120"/>
            </w:tcMar>
            <w:vAlign w:val="center"/>
          </w:tcPr>
          <w:p>
            <w:pPr>
              <w:spacing w:after="0"/>
              <w:jc w:val="left"/>
            </w:pPr>
            <w:r>
              <w:t xml:space="preserve">Eastland</w:t>
            </w:r>
          </w:p>
        </w:tc>
        <w:tc>
          <w:tcPr>
            <w:tcW w:type="dxa" w:w="6240"/>
            <w:tcBorders>
              <w:top w:val="single" w:color="000000" w:sz="2"/>
              <w:left w:val="single" w:color="000000" w:sz="2"/>
              <w:bottom w:val="single" w:color="000000" w:sz="2"/>
              <w:right w:val="single" w:color="000000" w:sz="2"/>
            </w:tcBorders>
            <w:tcMar>
              <w:top w:type="dxa" w:w="80"/>
              <w:left w:type="dxa" w:w="120"/>
              <w:bottom w:type="dxa" w:w="80"/>
              <w:right w:type="dxa" w:w="120"/>
            </w:tcMar>
            <w:vAlign w:val="center"/>
          </w:tcPr>
          <w:p>
            <w:pPr>
              <w:spacing w:after="0"/>
              <w:jc w:val="left"/>
            </w:pPr>
            <w:r>
              <w:t xml:space="preserve">EEST-lund</w:t>
            </w:r>
          </w:p>
        </w:tc>
      </w:tr>
      <w:tr>
        <w:trPr>
          <w:cantSplit/>
          <w:tblHeader w:val="false"/>
        </w:trPr>
        <w:tc>
          <w:tcPr>
            <w:tcW w:type="dxa" w:w="3120"/>
            <w:tcBorders>
              <w:top w:val="single" w:color="000000" w:sz="2"/>
              <w:left w:val="single" w:color="000000" w:sz="2"/>
              <w:bottom w:val="single" w:color="000000" w:sz="2"/>
              <w:right w:val="single" w:color="000000" w:sz="2"/>
            </w:tcBorders>
            <w:tcMar>
              <w:top w:type="dxa" w:w="80"/>
              <w:left w:type="dxa" w:w="120"/>
              <w:bottom w:type="dxa" w:w="80"/>
              <w:right w:type="dxa" w:w="120"/>
            </w:tcMar>
            <w:vAlign w:val="center"/>
          </w:tcPr>
          <w:p>
            <w:pPr>
              <w:spacing w:after="0"/>
              <w:jc w:val="left"/>
            </w:pPr>
            <w:r>
              <w:t xml:space="preserve">Ketanji</w:t>
            </w:r>
          </w:p>
        </w:tc>
        <w:tc>
          <w:tcPr>
            <w:tcW w:type="dxa" w:w="6240"/>
            <w:tcBorders>
              <w:top w:val="single" w:color="000000" w:sz="2"/>
              <w:left w:val="single" w:color="000000" w:sz="2"/>
              <w:bottom w:val="single" w:color="000000" w:sz="2"/>
              <w:right w:val="single" w:color="000000" w:sz="2"/>
            </w:tcBorders>
            <w:tcMar>
              <w:top w:type="dxa" w:w="80"/>
              <w:left w:type="dxa" w:w="120"/>
              <w:bottom w:type="dxa" w:w="80"/>
              <w:right w:type="dxa" w:w="120"/>
            </w:tcMar>
            <w:vAlign w:val="center"/>
          </w:tcPr>
          <w:p>
            <w:pPr>
              <w:spacing w:after="0"/>
              <w:jc w:val="left"/>
            </w:pPr>
            <w:r>
              <w:t xml:space="preserve">keh-TAHN-jee</w:t>
            </w:r>
          </w:p>
        </w:tc>
      </w:tr>
    </w:tbl>
    <w:p>
      <w:r>
        <w:rPr>
          <w:i/>
          <w:iCs/>
        </w:rPr>
        <w:t xml:space="preserve">If the voice mispronounces a name, use Cartesia’s custom pronunciation feature or a phonetic respelling in that scene’s input text only.</w:t>
      </w:r>
    </w:p>
    <w:p>
      <w:pPr>
        <w:pStyle w:val="Heading2"/>
      </w:pPr>
      <w:r>
        <w:t xml:space="preserve">Music and Sound</w:t>
      </w:r>
    </w:p>
    <w:p>
      <w:pPr>
        <w:pStyle w:val="ListParagraph"/>
        <w:numPr>
          <w:ilvl w:val="0"/>
          <w:numId w:val="2"/>
        </w:numPr>
        <w:spacing w:after="120"/>
      </w:pPr>
      <w:r>
        <w:t xml:space="preserve">Soft, ambient piano and strings bed under narration at about -24 LUFS relative to voice; duck further during quote cards.</w:t>
      </w:r>
    </w:p>
    <w:p>
      <w:pPr>
        <w:pStyle w:val="ListParagraph"/>
        <w:numPr>
          <w:ilvl w:val="0"/>
          <w:numId w:val="2"/>
        </w:numPr>
        <w:spacing w:after="120"/>
      </w:pPr>
      <w:r>
        <w:t xml:space="preserve">Subtle UI-style chimes for timeline ticks and checklist checks; a low, soft impact for the “Presidents are not kings” card.</w:t>
      </w:r>
    </w:p>
    <w:p>
      <w:pPr>
        <w:pStyle w:val="ListParagraph"/>
        <w:numPr>
          <w:ilvl w:val="0"/>
          <w:numId w:val="2"/>
        </w:numPr>
        <w:spacing w:after="120"/>
      </w:pPr>
      <w:r>
        <w:t xml:space="preserve">Use only royalty-free or licensed music; log licenses in the credits file.</w:t>
      </w:r>
    </w:p>
    <w:p>
      <w:pPr>
        <w:pStyle w:val="Heading1"/>
      </w:pPr>
      <w:r>
        <w:t xml:space="preserve">Scene-by-Scene Screenplay</w:t>
      </w:r>
    </w:p>
    <w:p>
      <w:r>
        <w:rPr>
          <w:i/>
          <w:iCs/>
        </w:rPr>
        <w:t xml:space="preserve">Each scene lists its target timecode, the visual and animation directions, any on-screen quote cards, and the exact narration text to send to Cartesia.</w:t>
      </w:r>
    </w:p>
    <w:p>
      <w:pPr>
        <w:pStyle w:val="Heading2"/>
      </w:pPr>
      <w:r>
        <w:t xml:space="preserve">Scene 1: Cold Open: The Subpoena</w:t>
      </w:r>
    </w:p>
    <w:p>
      <w:pPr>
        <w:spacing w:after="80"/>
      </w:pPr>
      <w:r>
        <w:rPr>
          <w:b/>
          <w:bCs/>
        </w:rPr>
        <w:t xml:space="preserve">Timecode: </w:t>
      </w:r>
      <w:r>
        <w:t xml:space="preserve">0:00 – 0:45   </w:t>
      </w:r>
      <w:r>
        <w:rPr>
          <w:b/>
          <w:bCs/>
        </w:rPr>
        <w:t xml:space="preserve">Narration: </w:t>
      </w:r>
      <w:r>
        <w:t xml:space="preserve">94 words (about 38 s of speech)</w:t>
      </w:r>
    </w:p>
    <w:p>
      <w:pPr>
        <w:spacing w:after="40"/>
      </w:pPr>
      <w:r>
        <w:rPr>
          <w:b/>
          <w:bCs/>
        </w:rPr>
        <w:t xml:space="preserve">VISUALS</w:t>
      </w:r>
    </w:p>
    <w:p>
      <w:pPr>
        <w:pStyle w:val="ListParagraph"/>
        <w:numPr>
          <w:ilvl w:val="0"/>
          <w:numId w:val="3"/>
        </w:numPr>
        <w:spacing w:after="120"/>
      </w:pPr>
      <w:r>
        <w:t xml:space="preserve">Black screen. A single parchment-textured rectangle fades in: a congressional subpoena (stylized, no real names). Camera pushes in slowly (Ken Burns style zoom, 1.0x to 1.15x over 8s).</w:t>
      </w:r>
    </w:p>
    <w:p>
      <w:pPr>
        <w:pStyle w:val="ListParagraph"/>
        <w:numPr>
          <w:ilvl w:val="0"/>
          <w:numId w:val="3"/>
        </w:numPr>
        <w:spacing w:after="120"/>
      </w:pPr>
      <w:r>
        <w:t xml:space="preserve">The word SUBPOENA glows gold, then shatters into particles that re-form as a question mark.</w:t>
      </w:r>
    </w:p>
    <w:p>
      <w:pPr>
        <w:pStyle w:val="ListParagraph"/>
        <w:numPr>
          <w:ilvl w:val="0"/>
          <w:numId w:val="3"/>
        </w:numPr>
        <w:spacing w:after="120"/>
      </w:pPr>
      <w:r>
        <w:t xml:space="preserve">Title card animates in with Write(): "The Power to Investigate." Subtitle fades up: "Congress, the President, and the Limits of Inquiry."</w:t>
      </w:r>
    </w:p>
    <w:p>
      <w:pPr>
        <w:spacing w:before="120" w:after="40"/>
      </w:pPr>
      <w:r>
        <w:rPr>
          <w:b/>
          <w:bCs/>
        </w:rPr>
        <w:t xml:space="preserve">NARRATION (send to Cartesia as file scene_01)</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blHeader w:val="false"/>
        </w:trPr>
        <w:tc>
          <w:tcPr>
            <w:tcW w:type="dxa" w:w="9360"/>
            <w:tcBorders>
              <w:top w:val="single" w:color="000000" w:sz="2"/>
              <w:left w:val="single" w:color="000000" w:sz="2"/>
              <w:bottom w:val="single" w:color="000000" w:sz="2"/>
              <w:right w:val="single" w:color="000000" w:sz="2"/>
            </w:tcBorders>
            <w:shd w:fill="EEF3F8" w:color="auto" w:val="clear"/>
            <w:tcMar>
              <w:top w:type="dxa" w:w="80"/>
              <w:left w:type="dxa" w:w="120"/>
              <w:bottom w:type="dxa" w:w="80"/>
              <w:right w:type="dxa" w:w="120"/>
            </w:tcMar>
            <w:vAlign w:val="center"/>
          </w:tcPr>
          <w:p>
            <w:pPr>
              <w:spacing w:after="0"/>
              <w:jc w:val="left"/>
            </w:pPr>
            <w:r>
              <w:t xml:space="preserve">A committee of Congress sends a letter. It says: appear before us, bring your documents, and answer our questions under oath. If the letter goes to a private citizen, most people comply. But what happens when the letter goes to the White House? &lt;break time="600ms"/&gt; Who decides whether Congress gets what it wants? The courts? The President? Or Congress itself? Over the next fifteen minutes, we will trace a power that appears nowhere in the Constitution, yet has toppled a cabinet, exposed scandals, and forced a sitting President into court. This is the power to investigate.</w:t>
            </w:r>
          </w:p>
        </w:tc>
      </w:tr>
    </w:tbl>
    <w:p>
      <w:pPr>
        <w:pStyle w:val="Heading2"/>
      </w:pPr>
      <w:r>
        <w:t xml:space="preserve">Scene 2: The Missing Word</w:t>
      </w:r>
    </w:p>
    <w:p>
      <w:pPr>
        <w:spacing w:after="80"/>
      </w:pPr>
      <w:r>
        <w:rPr>
          <w:b/>
          <w:bCs/>
        </w:rPr>
        <w:t xml:space="preserve">Timecode: </w:t>
      </w:r>
      <w:r>
        <w:t xml:space="preserve">0:45 – 1:45   </w:t>
      </w:r>
      <w:r>
        <w:rPr>
          <w:b/>
          <w:bCs/>
        </w:rPr>
        <w:t xml:space="preserve">Narration: </w:t>
      </w:r>
      <w:r>
        <w:t xml:space="preserve">139 words (about 56 s of speech)</w:t>
      </w:r>
    </w:p>
    <w:p>
      <w:pPr>
        <w:spacing w:after="40"/>
      </w:pPr>
      <w:r>
        <w:rPr>
          <w:b/>
          <w:bCs/>
        </w:rPr>
        <w:t xml:space="preserve">VISUALS</w:t>
      </w:r>
    </w:p>
    <w:p>
      <w:pPr>
        <w:pStyle w:val="ListParagraph"/>
        <w:numPr>
          <w:ilvl w:val="0"/>
          <w:numId w:val="4"/>
        </w:numPr>
        <w:spacing w:after="120"/>
      </w:pPr>
      <w:r>
        <w:t xml:space="preserve">Ken Burns pan across a high-resolution scan of the U.S. Constitution (public domain, National Archives). Slow pan left to right over Article I.</w:t>
      </w:r>
    </w:p>
    <w:p>
      <w:pPr>
        <w:pStyle w:val="ListParagraph"/>
        <w:numPr>
          <w:ilvl w:val="0"/>
          <w:numId w:val="4"/>
        </w:numPr>
        <w:spacing w:after="120"/>
      </w:pPr>
      <w:r>
        <w:t xml:space="preserve">Manim: the text of Article I, Section 1 types out: "All legislative Powers herein granted shall be vested in a Congress..." Then a search bar animates in, typing "investigate." Result counter animates: 0 matches. Repeat for "subpoena" and "oversight," each returning 0.</w:t>
      </w:r>
    </w:p>
    <w:p>
      <w:pPr>
        <w:pStyle w:val="ListParagraph"/>
        <w:numPr>
          <w:ilvl w:val="0"/>
          <w:numId w:val="4"/>
        </w:numPr>
        <w:spacing w:after="120"/>
      </w:pPr>
      <w:r>
        <w:t xml:space="preserve">Manim tree diagram: a root node labeled "Legislative Powers" grows a branch labeled "Power to Investigate (implied)." A second branch labeled "Necessary and Proper Clause" connects to it with a dashed line.</w:t>
      </w:r>
    </w:p>
    <w:p>
      <w:pPr>
        <w:spacing w:before="120" w:after="40"/>
      </w:pPr>
      <w:r>
        <w:rPr>
          <w:b/>
          <w:bCs/>
        </w:rPr>
        <w:t xml:space="preserve">NARRATION (send to Cartesia as file scene_02)</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blHeader w:val="false"/>
        </w:trPr>
        <w:tc>
          <w:tcPr>
            <w:tcW w:type="dxa" w:w="9360"/>
            <w:tcBorders>
              <w:top w:val="single" w:color="000000" w:sz="2"/>
              <w:left w:val="single" w:color="000000" w:sz="2"/>
              <w:bottom w:val="single" w:color="000000" w:sz="2"/>
              <w:right w:val="single" w:color="000000" w:sz="2"/>
            </w:tcBorders>
            <w:shd w:fill="EEF3F8" w:color="auto" w:val="clear"/>
            <w:tcMar>
              <w:top w:type="dxa" w:w="80"/>
              <w:left w:type="dxa" w:w="120"/>
              <w:bottom w:type="dxa" w:w="80"/>
              <w:right w:type="dxa" w:w="120"/>
            </w:tcMar>
            <w:vAlign w:val="center"/>
          </w:tcPr>
          <w:p>
            <w:pPr>
              <w:spacing w:after="0"/>
              <w:jc w:val="left"/>
            </w:pPr>
            <w:r>
              <w:t xml:space="preserve">Start with the text. Article One vests "all legislative powers" in Congress. Search the document for the word investigate, or subpoena, or oversight. &lt;break time="400ms"/&gt; Zero results. So where does the power come from? The Supreme Court's answer is functional. A legislature cannot make good laws without facts, and it cannot rely on volunteers to provide them. So the power to gather information, and to compel it, is implied from the legislative power itself. Congress did not wait for the courts to say so. In 1792, the House investigated a disastrous military defeat suffered by General Arthur St. Clair, and asked President Washington for documents. Washington's cabinet agreed the House could inquire, but concluded that the President could withhold papers whose disclosure would harm the public. Notice that both sides of our modern fight showed up in the very first investigation.</w:t>
            </w:r>
          </w:p>
        </w:tc>
      </w:tr>
    </w:tbl>
    <w:p>
      <w:pPr>
        <w:pStyle w:val="Heading2"/>
      </w:pPr>
      <w:r>
        <w:t xml:space="preserve">Scene 3: Kilbourn v. Thompson (1881): The First Fence</w:t>
      </w:r>
    </w:p>
    <w:p>
      <w:pPr>
        <w:spacing w:after="80"/>
      </w:pPr>
      <w:r>
        <w:rPr>
          <w:b/>
          <w:bCs/>
        </w:rPr>
        <w:t xml:space="preserve">Timecode: </w:t>
      </w:r>
      <w:r>
        <w:t xml:space="preserve">1:45 – 2:45   </w:t>
      </w:r>
      <w:r>
        <w:rPr>
          <w:b/>
          <w:bCs/>
        </w:rPr>
        <w:t xml:space="preserve">Narration: </w:t>
      </w:r>
      <w:r>
        <w:t xml:space="preserve">106 words (about 42 s of speech)</w:t>
      </w:r>
    </w:p>
    <w:p>
      <w:pPr>
        <w:spacing w:after="40"/>
      </w:pPr>
      <w:r>
        <w:rPr>
          <w:b/>
          <w:bCs/>
        </w:rPr>
        <w:t xml:space="preserve">VISUALS</w:t>
      </w:r>
    </w:p>
    <w:p>
      <w:pPr>
        <w:pStyle w:val="ListParagraph"/>
        <w:numPr>
          <w:ilvl w:val="0"/>
          <w:numId w:val="5"/>
        </w:numPr>
        <w:spacing w:after="120"/>
      </w:pPr>
      <w:r>
        <w:t xml:space="preserve">Ken Burns slow zoom on a 19th-century photograph of the U.S. Capitol (Library of Congress, public domain).</w:t>
      </w:r>
    </w:p>
    <w:p>
      <w:pPr>
        <w:pStyle w:val="ListParagraph"/>
        <w:numPr>
          <w:ilvl w:val="0"/>
          <w:numId w:val="5"/>
        </w:numPr>
        <w:spacing w:after="120"/>
      </w:pPr>
      <w:r>
        <w:t xml:space="preserve">Manim: a large circle labeled "Congress's Powers" appears. A smaller circle labeled "Investigation" sits inside it. A third circle labeled "Judicial Power" appears to the right, not overlapping. A red dot labeled "Kilbourn inquiry" drifts out of the investigation circle into the judicial circle, then flashes red.</w:t>
      </w:r>
    </w:p>
    <w:p>
      <w:pPr>
        <w:pStyle w:val="ListParagraph"/>
        <w:numPr>
          <w:ilvl w:val="0"/>
          <w:numId w:val="5"/>
        </w:numPr>
        <w:spacing w:after="120"/>
      </w:pPr>
      <w:r>
        <w:t xml:space="preserve">QUOTE CARD (see style guide) appears.</w:t>
      </w:r>
    </w:p>
    <w:p>
      <w:pPr>
        <w:spacing w:after="40"/>
      </w:pPr>
      <w:r>
        <w:rPr>
          <w:b/>
          <w:bCs/>
        </w:rPr>
        <w:t xml:space="preserve">QUOTE CARDS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blHeader w:val="false"/>
        </w:trPr>
        <w:tc>
          <w:tcPr>
            <w:tcW w:type="dxa" w:w="9360"/>
            <w:tcBorders>
              <w:top w:val="single" w:color="000000" w:sz="2"/>
              <w:left w:val="single" w:color="000000" w:sz="2"/>
              <w:bottom w:val="single" w:color="000000" w:sz="2"/>
              <w:right w:val="single" w:color="000000" w:sz="2"/>
            </w:tcBorders>
            <w:shd w:fill="FBF4E4" w:color="auto" w:val="clear"/>
            <w:tcMar>
              <w:top w:type="dxa" w:w="80"/>
              <w:left w:type="dxa" w:w="120"/>
              <w:bottom w:type="dxa" w:w="80"/>
              <w:right w:type="dxa" w:w="120"/>
            </w:tcMar>
            <w:vAlign w:val="center"/>
          </w:tcPr>
          <w:p>
            <w:r>
              <w:rPr>
                <w:sz w:val="26"/>
                <w:szCs w:val="26"/>
              </w:rPr>
              <w:t xml:space="preserve">“in its nature clearly judicial”</w:t>
            </w:r>
          </w:p>
          <w:p>
            <w:pPr>
              <w:jc w:val="right"/>
            </w:pPr>
            <w:r>
              <w:rPr>
                <w:i/>
                <w:iCs/>
              </w:rPr>
              <w:t xml:space="preserve">— Kilbourn v. Thompson (1881)</w:t>
            </w:r>
          </w:p>
        </w:tc>
      </w:tr>
    </w:tbl>
    <w:p>
      <w:pPr>
        <w:spacing w:before="120" w:after="40"/>
      </w:pPr>
      <w:r>
        <w:rPr>
          <w:b/>
          <w:bCs/>
        </w:rPr>
        <w:t xml:space="preserve">NARRATION (send to Cartesia as file scene_03)</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blHeader w:val="false"/>
        </w:trPr>
        <w:tc>
          <w:tcPr>
            <w:tcW w:type="dxa" w:w="9360"/>
            <w:tcBorders>
              <w:top w:val="single" w:color="000000" w:sz="2"/>
              <w:left w:val="single" w:color="000000" w:sz="2"/>
              <w:bottom w:val="single" w:color="000000" w:sz="2"/>
              <w:right w:val="single" w:color="000000" w:sz="2"/>
            </w:tcBorders>
            <w:shd w:fill="EEF3F8" w:color="auto" w:val="clear"/>
            <w:tcMar>
              <w:top w:type="dxa" w:w="80"/>
              <w:left w:type="dxa" w:w="120"/>
              <w:bottom w:type="dxa" w:w="80"/>
              <w:right w:type="dxa" w:w="120"/>
            </w:tcMar>
            <w:vAlign w:val="center"/>
          </w:tcPr>
          <w:p>
            <w:pPr>
              <w:spacing w:after="0"/>
              <w:jc w:val="left"/>
            </w:pPr>
            <w:r>
              <w:t xml:space="preserve">The Supreme Court first drew a boundary in Kilbourn versus Thompson. The House was investigating a failed real estate venture tied to a bankrupt banking firm that owed money to the United States. When a witness named Hallet Kilbourn refused to answer, the House jailed him. The Court said the House had gone too far. The matter was already in a bankruptcy court, it involved private business dealings, and no legislation could come of it. The inquiry, the Court said, was "in its nature clearly judicial." &lt;break time="500ms"/&gt; Remember the principle born here, because it runs through every case that follows. An investigation must serve a legislative purpose.</w:t>
            </w:r>
          </w:p>
        </w:tc>
      </w:tr>
    </w:tbl>
    <w:p>
      <w:pPr>
        <w:pStyle w:val="Heading2"/>
      </w:pPr>
      <w:r>
        <w:t xml:space="preserve">Scene 4: McGrain v. Daugherty (1927): The Power Confirmed</w:t>
      </w:r>
    </w:p>
    <w:p>
      <w:pPr>
        <w:spacing w:after="80"/>
      </w:pPr>
      <w:r>
        <w:rPr>
          <w:b/>
          <w:bCs/>
        </w:rPr>
        <w:t xml:space="preserve">Timecode: </w:t>
      </w:r>
      <w:r>
        <w:t xml:space="preserve">2:45 – 4:15   </w:t>
      </w:r>
      <w:r>
        <w:rPr>
          <w:b/>
          <w:bCs/>
        </w:rPr>
        <w:t xml:space="preserve">Narration: </w:t>
      </w:r>
      <w:r>
        <w:t xml:space="preserve">185 words (about 74 s of speech)</w:t>
      </w:r>
    </w:p>
    <w:p>
      <w:pPr>
        <w:spacing w:after="40"/>
      </w:pPr>
      <w:r>
        <w:rPr>
          <w:b/>
          <w:bCs/>
        </w:rPr>
        <w:t xml:space="preserve">VISUALS</w:t>
      </w:r>
    </w:p>
    <w:p>
      <w:pPr>
        <w:pStyle w:val="ListParagraph"/>
        <w:numPr>
          <w:ilvl w:val="0"/>
          <w:numId w:val="6"/>
        </w:numPr>
        <w:spacing w:after="120"/>
      </w:pPr>
      <w:r>
        <w:t xml:space="preserve">Ken Burns pan over a period newspaper front page about the Teapot Dome scandal (public domain, pre-1929). Slow drift down from headline to photo.</w:t>
      </w:r>
    </w:p>
    <w:p>
      <w:pPr>
        <w:pStyle w:val="ListParagraph"/>
        <w:numPr>
          <w:ilvl w:val="0"/>
          <w:numId w:val="6"/>
        </w:numPr>
        <w:spacing w:after="120"/>
      </w:pPr>
      <w:r>
        <w:t xml:space="preserve">Manim timeline animates left to right: 1922 Teapot Dome leases; 1923 Senate investigation; 1924 Attorney General Daugherty resigns; 1927 Supreme Court decision. Each tick pops in with a soft chime cue.</w:t>
      </w:r>
    </w:p>
    <w:p>
      <w:pPr>
        <w:pStyle w:val="ListParagraph"/>
        <w:numPr>
          <w:ilvl w:val="0"/>
          <w:numId w:val="6"/>
        </w:numPr>
        <w:spacing w:after="120"/>
      </w:pPr>
      <w:r>
        <w:t xml:space="preserve">Manim: two stacked gears, labeled "Legislative Function" (large) and "Power of Inquiry" (small). The small gear turns the large gear. Then a third tiny gear labeled "Process to Enforce It" engages the small gear.</w:t>
      </w:r>
    </w:p>
    <w:p>
      <w:pPr>
        <w:pStyle w:val="ListParagraph"/>
        <w:numPr>
          <w:ilvl w:val="0"/>
          <w:numId w:val="6"/>
        </w:numPr>
        <w:spacing w:after="120"/>
      </w:pPr>
      <w:r>
        <w:t xml:space="preserve">QUOTE CARD.</w:t>
      </w:r>
    </w:p>
    <w:p>
      <w:pPr>
        <w:pStyle w:val="ListParagraph"/>
        <w:numPr>
          <w:ilvl w:val="0"/>
          <w:numId w:val="6"/>
        </w:numPr>
        <w:spacing w:after="120"/>
      </w:pPr>
      <w:r>
        <w:t xml:space="preserve">Manim: a function machine. Input: "Subject of the investigation." Test: "Could legislation be had on it?" Output: green checkmark. Label underneath: "Presumed legislative purpose."</w:t>
      </w:r>
    </w:p>
    <w:p>
      <w:pPr>
        <w:spacing w:after="40"/>
      </w:pPr>
      <w:r>
        <w:rPr>
          <w:b/>
          <w:bCs/>
        </w:rPr>
        <w:t xml:space="preserve">QUOTE CARDS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blHeader w:val="false"/>
        </w:trPr>
        <w:tc>
          <w:tcPr>
            <w:tcW w:type="dxa" w:w="9360"/>
            <w:tcBorders>
              <w:top w:val="single" w:color="000000" w:sz="2"/>
              <w:left w:val="single" w:color="000000" w:sz="2"/>
              <w:bottom w:val="single" w:color="000000" w:sz="2"/>
              <w:right w:val="single" w:color="000000" w:sz="2"/>
            </w:tcBorders>
            <w:shd w:fill="FBF4E4" w:color="auto" w:val="clear"/>
            <w:tcMar>
              <w:top w:type="dxa" w:w="80"/>
              <w:left w:type="dxa" w:w="120"/>
              <w:bottom w:type="dxa" w:w="80"/>
              <w:right w:type="dxa" w:w="120"/>
            </w:tcMar>
            <w:vAlign w:val="center"/>
          </w:tcPr>
          <w:p>
            <w:r>
              <w:rPr>
                <w:sz w:val="26"/>
                <w:szCs w:val="26"/>
              </w:rPr>
              <w:t xml:space="preserve">“the power of inquiry—with process to enforce it—is an essential and appropriate auxiliary to the legislative function.”</w:t>
            </w:r>
          </w:p>
          <w:p>
            <w:pPr>
              <w:jc w:val="right"/>
            </w:pPr>
            <w:r>
              <w:rPr>
                <w:i/>
                <w:iCs/>
              </w:rPr>
              <w:t xml:space="preserve">— McGrain v. Daugherty (1927)</w:t>
            </w:r>
          </w:p>
        </w:tc>
      </w:tr>
    </w:tbl>
    <w:p>
      <w:pPr>
        <w:spacing w:before="120" w:after="40"/>
      </w:pPr>
      <w:r>
        <w:rPr>
          <w:b/>
          <w:bCs/>
        </w:rPr>
        <w:t xml:space="preserve">NARRATION (send to Cartesia as file scene_04)</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blHeader w:val="false"/>
        </w:trPr>
        <w:tc>
          <w:tcPr>
            <w:tcW w:type="dxa" w:w="9360"/>
            <w:tcBorders>
              <w:top w:val="single" w:color="000000" w:sz="2"/>
              <w:left w:val="single" w:color="000000" w:sz="2"/>
              <w:bottom w:val="single" w:color="000000" w:sz="2"/>
              <w:right w:val="single" w:color="000000" w:sz="2"/>
            </w:tcBorders>
            <w:shd w:fill="EEF3F8" w:color="auto" w:val="clear"/>
            <w:tcMar>
              <w:top w:type="dxa" w:w="80"/>
              <w:left w:type="dxa" w:w="120"/>
              <w:bottom w:type="dxa" w:w="80"/>
              <w:right w:type="dxa" w:w="120"/>
            </w:tcMar>
            <w:vAlign w:val="center"/>
          </w:tcPr>
          <w:p>
            <w:pPr>
              <w:spacing w:after="0"/>
              <w:jc w:val="left"/>
            </w:pPr>
            <w:r>
              <w:t xml:space="preserve">Fast forward to the 1920s and the Teapot Dome scandal. Federal oil reserves had been leased to private companies in exchange for bribes, and the Senate wanted to know whether Attorney General Harry Daugherty had failed to prosecute the wrongdoers. The Senate subpoenaed his brother, Mally Daugherty, an Ohio banker. He refused to appear. So the Senate sent its deputy sergeant at arms to arrest him. In McGrain versus Daugherty, the Supreme Court upheld that arrest, and wrote one of the most important sentences in this field: &lt;break time="400ms"/&gt; "the power of inquiry, with process to enforce it, is an essential and appropriate auxiliary to the legislative function." &lt;break time="600ms"/&gt; Two features of McGrain matter. First, the Senate did not have to announce a specific bill it planned to pass. It was enough that the subject was one on which legislation could be had, and the Court presumed the Senate had a legislative purpose. Second, look at the target. The Senate was investigating the Department of Justice, an executive department. From the beginning, oversight of the executive branch sat at the core of this power, not at its edges.</w:t>
            </w:r>
          </w:p>
        </w:tc>
      </w:tr>
    </w:tbl>
    <w:p>
      <w:pPr>
        <w:pStyle w:val="Heading2"/>
      </w:pPr>
      <w:r>
        <w:t xml:space="preserve">Scene 5: Watkins and Barenblatt: The Cold War Cases</w:t>
      </w:r>
    </w:p>
    <w:p>
      <w:pPr>
        <w:spacing w:after="80"/>
      </w:pPr>
      <w:r>
        <w:rPr>
          <w:b/>
          <w:bCs/>
        </w:rPr>
        <w:t xml:space="preserve">Timecode: </w:t>
      </w:r>
      <w:r>
        <w:t xml:space="preserve">4:15 – 5:45   </w:t>
      </w:r>
      <w:r>
        <w:rPr>
          <w:b/>
          <w:bCs/>
        </w:rPr>
        <w:t xml:space="preserve">Narration: </w:t>
      </w:r>
      <w:r>
        <w:t xml:space="preserve">165 words (about 66 s of speech)</w:t>
      </w:r>
    </w:p>
    <w:p>
      <w:pPr>
        <w:spacing w:after="40"/>
      </w:pPr>
      <w:r>
        <w:rPr>
          <w:b/>
          <w:bCs/>
        </w:rPr>
        <w:t xml:space="preserve">VISUALS</w:t>
      </w:r>
    </w:p>
    <w:p>
      <w:pPr>
        <w:pStyle w:val="ListParagraph"/>
        <w:numPr>
          <w:ilvl w:val="0"/>
          <w:numId w:val="7"/>
        </w:numPr>
        <w:spacing w:after="120"/>
      </w:pPr>
      <w:r>
        <w:t xml:space="preserve">Ken Burns slow zoom on a 1950s photograph of a House Un-American Activities Committee hearing room (verify public domain status; Library of Congress or National Archives).</w:t>
      </w:r>
    </w:p>
    <w:p>
      <w:pPr>
        <w:pStyle w:val="ListParagraph"/>
        <w:numPr>
          <w:ilvl w:val="0"/>
          <w:numId w:val="7"/>
        </w:numPr>
        <w:spacing w:after="120"/>
      </w:pPr>
      <w:r>
        <w:t xml:space="preserve">Manim: a balance scale. Left pan labeled "Congress's interest." Right pan labeled "Witness's First Amendment rights." For Watkins, a weight labeled "No clear pertinence" drops on the witness side and the scale tips toward the witness. Transition to Barenblatt: a heavy block labeled "National self-preservation" drops on the Congress side and the scale tips back.</w:t>
      </w:r>
    </w:p>
    <w:p>
      <w:pPr>
        <w:pStyle w:val="ListParagraph"/>
        <w:numPr>
          <w:ilvl w:val="0"/>
          <w:numId w:val="7"/>
        </w:numPr>
        <w:spacing w:after="120"/>
      </w:pPr>
      <w:r>
        <w:t xml:space="preserve">QUOTE CARD 2 (duty to cooperate) as the narrator reads it, then QUOTE CARD 1 (expose for the sake of exposure).</w:t>
      </w:r>
    </w:p>
    <w:p>
      <w:pPr>
        <w:pStyle w:val="ListParagraph"/>
        <w:numPr>
          <w:ilvl w:val="0"/>
          <w:numId w:val="7"/>
        </w:numPr>
        <w:spacing w:after="120"/>
      </w:pPr>
      <w:r>
        <w:t xml:space="preserve">Manim: an eye icon with a line through it, labeled "Courts do not examine motives."</w:t>
      </w:r>
    </w:p>
    <w:p>
      <w:pPr>
        <w:spacing w:after="40"/>
      </w:pPr>
      <w:r>
        <w:rPr>
          <w:b/>
          <w:bCs/>
        </w:rPr>
        <w:t xml:space="preserve">QUOTE CARDS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blHeader w:val="false"/>
        </w:trPr>
        <w:tc>
          <w:tcPr>
            <w:tcW w:type="dxa" w:w="9360"/>
            <w:tcBorders>
              <w:top w:val="single" w:color="000000" w:sz="2"/>
              <w:left w:val="single" w:color="000000" w:sz="2"/>
              <w:bottom w:val="single" w:color="000000" w:sz="2"/>
              <w:right w:val="single" w:color="000000" w:sz="2"/>
            </w:tcBorders>
            <w:shd w:fill="FBF4E4" w:color="auto" w:val="clear"/>
            <w:tcMar>
              <w:top w:type="dxa" w:w="80"/>
              <w:left w:type="dxa" w:w="120"/>
              <w:bottom w:type="dxa" w:w="80"/>
              <w:right w:type="dxa" w:w="120"/>
            </w:tcMar>
            <w:vAlign w:val="center"/>
          </w:tcPr>
          <w:p>
            <w:r>
              <w:rPr>
                <w:sz w:val="26"/>
                <w:szCs w:val="26"/>
              </w:rPr>
              <w:t xml:space="preserve">“There is no congressional power to expose for the sake of exposure.”</w:t>
            </w:r>
          </w:p>
          <w:p>
            <w:pPr>
              <w:jc w:val="right"/>
            </w:pPr>
            <w:r>
              <w:rPr>
                <w:i/>
                <w:iCs/>
              </w:rPr>
              <w:t xml:space="preserve">— Watkins v. United States (1957)</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blHeader w:val="false"/>
        </w:trPr>
        <w:tc>
          <w:tcPr>
            <w:tcW w:type="dxa" w:w="9360"/>
            <w:tcBorders>
              <w:top w:val="single" w:color="000000" w:sz="2"/>
              <w:left w:val="single" w:color="000000" w:sz="2"/>
              <w:bottom w:val="single" w:color="000000" w:sz="2"/>
              <w:right w:val="single" w:color="000000" w:sz="2"/>
            </w:tcBorders>
            <w:shd w:fill="FBF4E4" w:color="auto" w:val="clear"/>
            <w:tcMar>
              <w:top w:type="dxa" w:w="80"/>
              <w:left w:type="dxa" w:w="120"/>
              <w:bottom w:type="dxa" w:w="80"/>
              <w:right w:type="dxa" w:w="120"/>
            </w:tcMar>
            <w:vAlign w:val="center"/>
          </w:tcPr>
          <w:p>
            <w:r>
              <w:rPr>
                <w:sz w:val="26"/>
                <w:szCs w:val="26"/>
              </w:rPr>
              <w:t xml:space="preserve">“It is unquestionably the duty of all citizens to cooperate with the Congress in its efforts to obtain the facts needed for intelligent legislative action.”</w:t>
            </w:r>
          </w:p>
          <w:p>
            <w:pPr>
              <w:jc w:val="right"/>
            </w:pPr>
            <w:r>
              <w:rPr>
                <w:i/>
                <w:iCs/>
              </w:rPr>
              <w:t xml:space="preserve">— Watkins v. United States (1957)</w:t>
            </w:r>
          </w:p>
        </w:tc>
      </w:tr>
    </w:tbl>
    <w:p>
      <w:pPr>
        <w:spacing w:before="120" w:after="40"/>
      </w:pPr>
      <w:r>
        <w:rPr>
          <w:b/>
          <w:bCs/>
        </w:rPr>
        <w:t xml:space="preserve">NARRATION (send to Cartesia as file scene_05)</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blHeader w:val="false"/>
        </w:trPr>
        <w:tc>
          <w:tcPr>
            <w:tcW w:type="dxa" w:w="9360"/>
            <w:tcBorders>
              <w:top w:val="single" w:color="000000" w:sz="2"/>
              <w:left w:val="single" w:color="000000" w:sz="2"/>
              <w:bottom w:val="single" w:color="000000" w:sz="2"/>
              <w:right w:val="single" w:color="000000" w:sz="2"/>
            </w:tcBorders>
            <w:shd w:fill="EEF3F8" w:color="auto" w:val="clear"/>
            <w:tcMar>
              <w:top w:type="dxa" w:w="80"/>
              <w:left w:type="dxa" w:w="120"/>
              <w:bottom w:type="dxa" w:w="80"/>
              <w:right w:type="dxa" w:w="120"/>
            </w:tcMar>
            <w:vAlign w:val="center"/>
          </w:tcPr>
          <w:p>
            <w:pPr>
              <w:spacing w:after="0"/>
              <w:jc w:val="left"/>
            </w:pPr>
            <w:r>
              <w:t xml:space="preserve">The 1950s tested the power against individual rights. The House Un-American Activities Committee questioned hundreds of witnesses about communist associations. In Watkins versus United States, Chief Justice Earl Warren began by affirming the power. It is, he wrote, "the duty of all citizens to cooperate with the Congress in its efforts to obtain the facts needed for intelligent legislative action." But then came a warning that law students still quote: &lt;break time="400ms"/&gt; "There is no congressional power to expose for the sake of exposure." &lt;break time="500ms"/&gt; Congress is not a law enforcement agency or a trial court. Watkins won because the committee never explained how its questions were pertinent to its subject. Two years later, in Barenblatt versus United States, the Court pulled back. It balanced a witness's First Amendment interests against the government's interest and sided with Congress. It also said courts should not probe legislators' motives so long as a legislative purpose exists. Put those together and you get a test that is real, but very deferential.</w:t>
            </w:r>
          </w:p>
        </w:tc>
      </w:tr>
    </w:tbl>
    <w:p>
      <w:pPr>
        <w:pStyle w:val="Heading2"/>
      </w:pPr>
      <w:r>
        <w:t xml:space="preserve">Scene 6: Eastland (1975): The Courthouse Door</w:t>
      </w:r>
    </w:p>
    <w:p>
      <w:pPr>
        <w:spacing w:after="80"/>
      </w:pPr>
      <w:r>
        <w:rPr>
          <w:b/>
          <w:bCs/>
        </w:rPr>
        <w:t xml:space="preserve">Timecode: </w:t>
      </w:r>
      <w:r>
        <w:t xml:space="preserve">5:45 – 6:45   </w:t>
      </w:r>
      <w:r>
        <w:rPr>
          <w:b/>
          <w:bCs/>
        </w:rPr>
        <w:t xml:space="preserve">Narration: </w:t>
      </w:r>
      <w:r>
        <w:t xml:space="preserve">136 words (about 54 s of speech)</w:t>
      </w:r>
    </w:p>
    <w:p>
      <w:pPr>
        <w:spacing w:after="40"/>
      </w:pPr>
      <w:r>
        <w:rPr>
          <w:b/>
          <w:bCs/>
        </w:rPr>
        <w:t xml:space="preserve">VISUALS</w:t>
      </w:r>
    </w:p>
    <w:p>
      <w:pPr>
        <w:pStyle w:val="ListParagraph"/>
        <w:numPr>
          <w:ilvl w:val="0"/>
          <w:numId w:val="8"/>
        </w:numPr>
        <w:spacing w:after="120"/>
      </w:pPr>
      <w:r>
        <w:t xml:space="preserve">Manim: a courthouse facade built from simple geometric shapes. A figure labeled "Subpoena recipient" walks toward the door. A glowing shield labeled "Speech or Debate Clause" slides in front of the door. The figure bounces off.</w:t>
      </w:r>
    </w:p>
    <w:p>
      <w:pPr>
        <w:pStyle w:val="ListParagraph"/>
        <w:numPr>
          <w:ilvl w:val="0"/>
          <w:numId w:val="8"/>
        </w:numPr>
        <w:spacing w:after="120"/>
      </w:pPr>
      <w:r>
        <w:t xml:space="preserve">Manim: the figure takes an alternative path: a branching flowchart with two arrows. Arrow 1: "Refuse to comply" leads to "Contempt prosecution: raise defenses here." Arrow 2: "Refuse to comply" leads to "Civil enforcement suit: raise defenses here."</w:t>
      </w:r>
    </w:p>
    <w:p>
      <w:pPr>
        <w:pStyle w:val="ListParagraph"/>
        <w:numPr>
          <w:ilvl w:val="0"/>
          <w:numId w:val="8"/>
        </w:numPr>
        <w:spacing w:after="120"/>
      </w:pPr>
      <w:r>
        <w:t xml:space="preserve">QUOTE CARD.</w:t>
      </w:r>
    </w:p>
    <w:p>
      <w:pPr>
        <w:spacing w:after="40"/>
      </w:pPr>
      <w:r>
        <w:rPr>
          <w:b/>
          <w:bCs/>
        </w:rPr>
        <w:t xml:space="preserve">QUOTE CARDS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blHeader w:val="false"/>
        </w:trPr>
        <w:tc>
          <w:tcPr>
            <w:tcW w:type="dxa" w:w="9360"/>
            <w:tcBorders>
              <w:top w:val="single" w:color="000000" w:sz="2"/>
              <w:left w:val="single" w:color="000000" w:sz="2"/>
              <w:bottom w:val="single" w:color="000000" w:sz="2"/>
              <w:right w:val="single" w:color="000000" w:sz="2"/>
            </w:tcBorders>
            <w:shd w:fill="FBF4E4" w:color="auto" w:val="clear"/>
            <w:tcMar>
              <w:top w:type="dxa" w:w="80"/>
              <w:left w:type="dxa" w:w="120"/>
              <w:bottom w:type="dxa" w:w="80"/>
              <w:right w:type="dxa" w:w="120"/>
            </w:tcMar>
            <w:vAlign w:val="center"/>
          </w:tcPr>
          <w:p>
            <w:r>
              <w:rPr>
                <w:sz w:val="26"/>
                <w:szCs w:val="26"/>
              </w:rPr>
              <w:t xml:space="preserve">The power to investigate is an “indispensable ingredient of lawmaking.”</w:t>
            </w:r>
          </w:p>
          <w:p>
            <w:pPr>
              <w:jc w:val="right"/>
            </w:pPr>
            <w:r>
              <w:rPr>
                <w:i/>
                <w:iCs/>
              </w:rPr>
              <w:t xml:space="preserve">— Eastland v. U.S. Servicemen’s Fund (1975)</w:t>
            </w:r>
          </w:p>
        </w:tc>
      </w:tr>
    </w:tbl>
    <w:p>
      <w:pPr>
        <w:spacing w:before="120" w:after="40"/>
      </w:pPr>
      <w:r>
        <w:rPr>
          <w:b/>
          <w:bCs/>
        </w:rPr>
        <w:t xml:space="preserve">NARRATION (send to Cartesia as file scene_06)</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blHeader w:val="false"/>
        </w:trPr>
        <w:tc>
          <w:tcPr>
            <w:tcW w:type="dxa" w:w="9360"/>
            <w:tcBorders>
              <w:top w:val="single" w:color="000000" w:sz="2"/>
              <w:left w:val="single" w:color="000000" w:sz="2"/>
              <w:bottom w:val="single" w:color="000000" w:sz="2"/>
              <w:right w:val="single" w:color="000000" w:sz="2"/>
            </w:tcBorders>
            <w:shd w:fill="EEF3F8" w:color="auto" w:val="clear"/>
            <w:tcMar>
              <w:top w:type="dxa" w:w="80"/>
              <w:left w:type="dxa" w:w="120"/>
              <w:bottom w:type="dxa" w:w="80"/>
              <w:right w:type="dxa" w:w="120"/>
            </w:tcMar>
            <w:vAlign w:val="center"/>
          </w:tcPr>
          <w:p>
            <w:pPr>
              <w:spacing w:after="0"/>
              <w:jc w:val="left"/>
            </w:pPr>
            <w:r>
              <w:t xml:space="preserve">There is a procedural twist that shapes this whole area. In Eastland versus United States Servicemen's Fund, the Supreme Court called the investigative power an "indispensable ingredient of lawmaking." Then it held that the Speech or Debate Clause bars courts from blocking a congressional subpoena before it is enforced. Issuing a subpoena is a legislative act, and legislative acts are shielded from judicial interference. So if you receive a subpoena and you think it is unlawful, you cannot simply sue to stop it. You must refuse, and then raise your defenses when Congress tries to enforce it, either in a criminal contempt case or in a civil lawsuit. That is why so much of this law comes from contempt cases. And it is one reason the executive branch often prefers to resist rather than to sue.</w:t>
            </w:r>
          </w:p>
        </w:tc>
      </w:tr>
    </w:tbl>
    <w:p>
      <w:pPr>
        <w:pStyle w:val="Heading2"/>
      </w:pPr>
      <w:r>
        <w:t xml:space="preserve">Scene 7: The Limits Checklist</w:t>
      </w:r>
    </w:p>
    <w:p>
      <w:pPr>
        <w:spacing w:after="80"/>
      </w:pPr>
      <w:r>
        <w:rPr>
          <w:b/>
          <w:bCs/>
        </w:rPr>
        <w:t xml:space="preserve">Timecode: </w:t>
      </w:r>
      <w:r>
        <w:t xml:space="preserve">6:45 – 7:45   </w:t>
      </w:r>
      <w:r>
        <w:rPr>
          <w:b/>
          <w:bCs/>
        </w:rPr>
        <w:t xml:space="preserve">Narration: </w:t>
      </w:r>
      <w:r>
        <w:t xml:space="preserve">131 words (about 52 s of speech)</w:t>
      </w:r>
    </w:p>
    <w:p>
      <w:pPr>
        <w:spacing w:after="40"/>
      </w:pPr>
      <w:r>
        <w:rPr>
          <w:b/>
          <w:bCs/>
        </w:rPr>
        <w:t xml:space="preserve">VISUALS</w:t>
      </w:r>
    </w:p>
    <w:p>
      <w:pPr>
        <w:pStyle w:val="ListParagraph"/>
        <w:numPr>
          <w:ilvl w:val="0"/>
          <w:numId w:val="9"/>
        </w:numPr>
        <w:spacing w:after="120"/>
      </w:pPr>
      <w:r>
        <w:t xml:space="preserve">Manim: a clean checklist builds item by item, each with a checkbox that animates a check. Items: 1. Legislative purpose. 2. Authorized by the chamber and pertinent. 3. Bill of Rights (First and Fifth Amendments). 4. Common law privileges (contested). 5. Separation of powers. Item 5 pulses gold and stays highlighted.</w:t>
      </w:r>
    </w:p>
    <w:p>
      <w:pPr>
        <w:pStyle w:val="ListParagraph"/>
        <w:numPr>
          <w:ilvl w:val="0"/>
          <w:numId w:val="9"/>
        </w:numPr>
        <w:spacing w:after="120"/>
      </w:pPr>
      <w:r>
        <w:t xml:space="preserve">Small side callout for item 3: "Fifth Amendment fully available; Congress can compel testimony only by granting immunity."</w:t>
      </w:r>
    </w:p>
    <w:p>
      <w:pPr>
        <w:spacing w:before="120" w:after="40"/>
      </w:pPr>
      <w:r>
        <w:rPr>
          <w:b/>
          <w:bCs/>
        </w:rPr>
        <w:t xml:space="preserve">NARRATION (send to Cartesia as file scene_07)</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blHeader w:val="false"/>
        </w:trPr>
        <w:tc>
          <w:tcPr>
            <w:tcW w:type="dxa" w:w="9360"/>
            <w:tcBorders>
              <w:top w:val="single" w:color="000000" w:sz="2"/>
              <w:left w:val="single" w:color="000000" w:sz="2"/>
              <w:bottom w:val="single" w:color="000000" w:sz="2"/>
              <w:right w:val="single" w:color="000000" w:sz="2"/>
            </w:tcBorders>
            <w:shd w:fill="EEF3F8" w:color="auto" w:val="clear"/>
            <w:tcMar>
              <w:top w:type="dxa" w:w="80"/>
              <w:left w:type="dxa" w:w="120"/>
              <w:bottom w:type="dxa" w:w="80"/>
              <w:right w:type="dxa" w:w="120"/>
            </w:tcMar>
            <w:vAlign w:val="center"/>
          </w:tcPr>
          <w:p>
            <w:pPr>
              <w:spacing w:after="0"/>
              <w:jc w:val="left"/>
            </w:pPr>
            <w:r>
              <w:t xml:space="preserve">Let us pause and build an exam checklist. One: legislative purpose. The inquiry must concern a subject on which Congress could legislate, spend, or otherwise act. Two: authorization and pertinence. A committee must act within the jurisdiction its chamber gave it, and its questions must be pertinent to that subject. Three: the Bill of Rights. The First Amendment applies, though it rarely wins. The Fifth Amendment privilege against self-incrimination is fully available, and Congress can override it only by granting immunity. Four: common law privileges like attorney client privilege, whose application to Congress is contested. And five, the one we turn to now: the separation of powers. Because the first four limits were built mostly in cases about private citizens, the big question is what happens when Congress investigates the President.</w:t>
            </w:r>
          </w:p>
        </w:tc>
      </w:tr>
    </w:tbl>
    <w:p>
      <w:pPr>
        <w:pStyle w:val="Heading2"/>
      </w:pPr>
      <w:r>
        <w:t xml:space="preserve">Scene 8: Executive Privilege and the Nixon Tapes</w:t>
      </w:r>
    </w:p>
    <w:p>
      <w:pPr>
        <w:spacing w:after="80"/>
      </w:pPr>
      <w:r>
        <w:rPr>
          <w:b/>
          <w:bCs/>
        </w:rPr>
        <w:t xml:space="preserve">Timecode: </w:t>
      </w:r>
      <w:r>
        <w:t xml:space="preserve">7:45 – 9:15   </w:t>
      </w:r>
      <w:r>
        <w:rPr>
          <w:b/>
          <w:bCs/>
        </w:rPr>
        <w:t xml:space="preserve">Narration: </w:t>
      </w:r>
      <w:r>
        <w:t xml:space="preserve">166 words (about 66 s of speech)</w:t>
      </w:r>
    </w:p>
    <w:p>
      <w:pPr>
        <w:spacing w:after="40"/>
      </w:pPr>
      <w:r>
        <w:rPr>
          <w:b/>
          <w:bCs/>
        </w:rPr>
        <w:t xml:space="preserve">VISUALS</w:t>
      </w:r>
    </w:p>
    <w:p>
      <w:pPr>
        <w:pStyle w:val="ListParagraph"/>
        <w:numPr>
          <w:ilvl w:val="0"/>
          <w:numId w:val="10"/>
        </w:numPr>
        <w:spacing w:after="120"/>
      </w:pPr>
      <w:r>
        <w:t xml:space="preserve">Ken Burns slow zoom on a photograph of the Senate Watergate hearings or a reel-to-reel tape recorder (National Archives, public domain; verify).</w:t>
      </w:r>
    </w:p>
    <w:p>
      <w:pPr>
        <w:pStyle w:val="ListParagraph"/>
        <w:numPr>
          <w:ilvl w:val="0"/>
          <w:numId w:val="10"/>
        </w:numPr>
        <w:spacing w:after="120"/>
      </w:pPr>
      <w:r>
        <w:t xml:space="preserve">Manim: a castle icon labeled "Executive Branch" with three concentric walls. Outer wall: "Law enforcement privilege." Middle wall: "Deliberative process privilege." Inner keep: "Presidential communications privilege." Each wall labels in sequence; inner keep is the thickest.</w:t>
      </w:r>
    </w:p>
    <w:p>
      <w:pPr>
        <w:pStyle w:val="ListParagraph"/>
        <w:numPr>
          <w:ilvl w:val="0"/>
          <w:numId w:val="10"/>
        </w:numPr>
        <w:spacing w:after="120"/>
      </w:pPr>
      <w:r>
        <w:t xml:space="preserve">Manim: arrows labeled "Criminal trial subpoena (U.S. v. Nixon)" breach the inner keep. A separate arrow labeled "Senate Watergate Committee" stops at the wall with a label: "Not demonstrably critical."</w:t>
      </w:r>
    </w:p>
    <w:p>
      <w:pPr>
        <w:pStyle w:val="ListParagraph"/>
        <w:numPr>
          <w:ilvl w:val="0"/>
          <w:numId w:val="10"/>
        </w:numPr>
        <w:spacing w:after="120"/>
      </w:pPr>
      <w:r>
        <w:t xml:space="preserve">QUOTE CARD.</w:t>
      </w:r>
    </w:p>
    <w:p>
      <w:pPr>
        <w:spacing w:after="40"/>
      </w:pPr>
      <w:r>
        <w:rPr>
          <w:b/>
          <w:bCs/>
        </w:rPr>
        <w:t xml:space="preserve">QUOTE CARDS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blHeader w:val="false"/>
        </w:trPr>
        <w:tc>
          <w:tcPr>
            <w:tcW w:type="dxa" w:w="9360"/>
            <w:tcBorders>
              <w:top w:val="single" w:color="000000" w:sz="2"/>
              <w:left w:val="single" w:color="000000" w:sz="2"/>
              <w:bottom w:val="single" w:color="000000" w:sz="2"/>
              <w:right w:val="single" w:color="000000" w:sz="2"/>
            </w:tcBorders>
            <w:shd w:fill="FBF4E4" w:color="auto" w:val="clear"/>
            <w:tcMar>
              <w:top w:type="dxa" w:w="80"/>
              <w:left w:type="dxa" w:w="120"/>
              <w:bottom w:type="dxa" w:w="80"/>
              <w:right w:type="dxa" w:w="120"/>
            </w:tcMar>
            <w:vAlign w:val="center"/>
          </w:tcPr>
          <w:p>
            <w:r>
              <w:rPr>
                <w:sz w:val="26"/>
                <w:szCs w:val="26"/>
              </w:rPr>
              <w:t xml:space="preserve">Congress must show the material is “demonstrably critical to the responsible fulfillment of the Committee’s functions.”</w:t>
            </w:r>
          </w:p>
          <w:p>
            <w:pPr>
              <w:jc w:val="right"/>
            </w:pPr>
            <w:r>
              <w:rPr>
                <w:i/>
                <w:iCs/>
              </w:rPr>
              <w:t xml:space="preserve">— Senate Select Committee v. Nixon (D.C. Cir. 1974)</w:t>
            </w:r>
          </w:p>
        </w:tc>
      </w:tr>
    </w:tbl>
    <w:p>
      <w:pPr>
        <w:spacing w:before="120" w:after="40"/>
      </w:pPr>
      <w:r>
        <w:rPr>
          <w:b/>
          <w:bCs/>
        </w:rPr>
        <w:t xml:space="preserve">NARRATION (send to Cartesia as file scene_08)</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blHeader w:val="false"/>
        </w:trPr>
        <w:tc>
          <w:tcPr>
            <w:tcW w:type="dxa" w:w="9360"/>
            <w:tcBorders>
              <w:top w:val="single" w:color="000000" w:sz="2"/>
              <w:left w:val="single" w:color="000000" w:sz="2"/>
              <w:bottom w:val="single" w:color="000000" w:sz="2"/>
              <w:right w:val="single" w:color="000000" w:sz="2"/>
            </w:tcBorders>
            <w:shd w:fill="EEF3F8" w:color="auto" w:val="clear"/>
            <w:tcMar>
              <w:top w:type="dxa" w:w="80"/>
              <w:left w:type="dxa" w:w="120"/>
              <w:bottom w:type="dxa" w:w="80"/>
              <w:right w:type="dxa" w:w="120"/>
            </w:tcMar>
            <w:vAlign w:val="center"/>
          </w:tcPr>
          <w:p>
            <w:pPr>
              <w:spacing w:after="0"/>
              <w:jc w:val="left"/>
            </w:pPr>
            <w:r>
              <w:t xml:space="preserve">The executive branch's main shield is executive privilege. Like the investigative power, it appears nowhere in the text. It is implied from Article Two and the separation of powers. In United States versus Nixon, in 1974, the Supreme Court recognized a privilege for presidential communications, grounded in the need for candid advice. But it held that the privilege must yield to the specific need for evidence in a criminal trial, and Nixon had to turn over the tapes. That was a court subpoena, though, not a congressional one. The same year, the D.C. Circuit refused to enforce the Senate Watergate committee's subpoena for tapes, because the committee had not shown the material was "demonstrably critical" to its functions. &lt;break time="500ms"/&gt; Students should picture privilege as a castle with three walls. The outer wall is the law enforcement privilege. The middle wall is the deliberative process privilege, which is weaker and gives way when there is evidence of misconduct. The inner keep, the strongest, protects communications with the President.</w:t>
            </w:r>
          </w:p>
        </w:tc>
      </w:tr>
    </w:tbl>
    <w:p>
      <w:pPr>
        <w:pStyle w:val="Heading2"/>
      </w:pPr>
      <w:r>
        <w:t xml:space="preserve">Scene 9: Can Advisers Refuse to Show Up?</w:t>
      </w:r>
    </w:p>
    <w:p>
      <w:pPr>
        <w:spacing w:after="80"/>
      </w:pPr>
      <w:r>
        <w:rPr>
          <w:b/>
          <w:bCs/>
        </w:rPr>
        <w:t xml:space="preserve">Timecode: </w:t>
      </w:r>
      <w:r>
        <w:t xml:space="preserve">9:15 – 10:15   </w:t>
      </w:r>
      <w:r>
        <w:rPr>
          <w:b/>
          <w:bCs/>
        </w:rPr>
        <w:t xml:space="preserve">Narration: </w:t>
      </w:r>
      <w:r>
        <w:t xml:space="preserve">116 words (about 46 s of speech)</w:t>
      </w:r>
    </w:p>
    <w:p>
      <w:pPr>
        <w:spacing w:after="40"/>
      </w:pPr>
      <w:r>
        <w:rPr>
          <w:b/>
          <w:bCs/>
        </w:rPr>
        <w:t xml:space="preserve">VISUALS</w:t>
      </w:r>
    </w:p>
    <w:p>
      <w:pPr>
        <w:pStyle w:val="ListParagraph"/>
        <w:numPr>
          <w:ilvl w:val="0"/>
          <w:numId w:val="11"/>
        </w:numPr>
        <w:spacing w:after="120"/>
      </w:pPr>
      <w:r>
        <w:t xml:space="preserve">Manim: a chair labeled "Witness" sits empty in front of a committee dais made of simple shapes. A label floats above: "Absolute immunity?" A large red X stamps over the label for Miers (2008), then again for McGahn (2019).</w:t>
      </w:r>
    </w:p>
    <w:p>
      <w:pPr>
        <w:pStyle w:val="ListParagraph"/>
        <w:numPr>
          <w:ilvl w:val="0"/>
          <w:numId w:val="11"/>
        </w:numPr>
        <w:spacing w:after="120"/>
      </w:pPr>
      <w:r>
        <w:t xml:space="preserve">QUOTE CARD (large, centered, extra hold time of 4s).</w:t>
      </w:r>
    </w:p>
    <w:p>
      <w:pPr>
        <w:pStyle w:val="ListParagraph"/>
        <w:numPr>
          <w:ilvl w:val="0"/>
          <w:numId w:val="11"/>
        </w:numPr>
        <w:spacing w:after="120"/>
      </w:pPr>
      <w:r>
        <w:t xml:space="preserve">Manim: a small footnote card slides in: "The Supreme Court has never decided this question. McGahn settled in 2021."</w:t>
      </w:r>
    </w:p>
    <w:p>
      <w:pPr>
        <w:spacing w:after="40"/>
      </w:pPr>
      <w:r>
        <w:rPr>
          <w:b/>
          <w:bCs/>
        </w:rPr>
        <w:t xml:space="preserve">QUOTE CARDS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blHeader w:val="false"/>
        </w:trPr>
        <w:tc>
          <w:tcPr>
            <w:tcW w:type="dxa" w:w="9360"/>
            <w:tcBorders>
              <w:top w:val="single" w:color="000000" w:sz="2"/>
              <w:left w:val="single" w:color="000000" w:sz="2"/>
              <w:bottom w:val="single" w:color="000000" w:sz="2"/>
              <w:right w:val="single" w:color="000000" w:sz="2"/>
            </w:tcBorders>
            <w:shd w:fill="FBF4E4" w:color="auto" w:val="clear"/>
            <w:tcMar>
              <w:top w:type="dxa" w:w="80"/>
              <w:left w:type="dxa" w:w="120"/>
              <w:bottom w:type="dxa" w:w="80"/>
              <w:right w:type="dxa" w:w="120"/>
            </w:tcMar>
            <w:vAlign w:val="center"/>
          </w:tcPr>
          <w:p>
            <w:r>
              <w:rPr>
                <w:sz w:val="26"/>
                <w:szCs w:val="26"/>
              </w:rPr>
              <w:t xml:space="preserve">“Presidents are not kings.”</w:t>
            </w:r>
          </w:p>
          <w:p>
            <w:pPr>
              <w:jc w:val="right"/>
            </w:pPr>
            <w:r>
              <w:rPr>
                <w:i/>
                <w:iCs/>
              </w:rPr>
              <w:t xml:space="preserve">— Committee on the Judiciary v. McGahn (D.D.C. 2019)</w:t>
            </w:r>
          </w:p>
        </w:tc>
      </w:tr>
    </w:tbl>
    <w:p>
      <w:pPr>
        <w:spacing w:before="120" w:after="40"/>
      </w:pPr>
      <w:r>
        <w:rPr>
          <w:b/>
          <w:bCs/>
        </w:rPr>
        <w:t xml:space="preserve">NARRATION (send to Cartesia as file scene_09)</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blHeader w:val="false"/>
        </w:trPr>
        <w:tc>
          <w:tcPr>
            <w:tcW w:type="dxa" w:w="9360"/>
            <w:tcBorders>
              <w:top w:val="single" w:color="000000" w:sz="2"/>
              <w:left w:val="single" w:color="000000" w:sz="2"/>
              <w:bottom w:val="single" w:color="000000" w:sz="2"/>
              <w:right w:val="single" w:color="000000" w:sz="2"/>
            </w:tcBorders>
            <w:shd w:fill="EEF3F8" w:color="auto" w:val="clear"/>
            <w:tcMar>
              <w:top w:type="dxa" w:w="80"/>
              <w:left w:type="dxa" w:w="120"/>
              <w:bottom w:type="dxa" w:w="80"/>
              <w:right w:type="dxa" w:w="120"/>
            </w:tcMar>
            <w:vAlign w:val="center"/>
          </w:tcPr>
          <w:p>
            <w:pPr>
              <w:spacing w:after="0"/>
              <w:jc w:val="left"/>
            </w:pPr>
            <w:r>
              <w:t xml:space="preserve">The executive has made a second, bolder claim. Across administrations of both parties, the Justice Department has argued that the President's closest advisers are absolutely immune from being compelled to testify. Not just privileged on certain questions, but excused from showing up at all. District courts have rejected this. In 2008, a court ordered former White House Counsel Harriet Miers to appear, while allowing her to assert privilege question by question. And in 2019, Judge Ketanji Brown Jackson ordered former White House Counsel Donald McGahn to appear, writing three words that went viral: &lt;break time="400ms"/&gt; "Presidents are not kings." &lt;break time="700ms"/&gt; The McGahn case was eventually settled, and the Supreme Court has never resolved the immunity question. It remains open.</w:t>
            </w:r>
          </w:p>
        </w:tc>
      </w:tr>
    </w:tbl>
    <w:p>
      <w:pPr>
        <w:pStyle w:val="Heading2"/>
      </w:pPr>
      <w:r>
        <w:t xml:space="preserve">Scene 10: Trump v. Mazars (2020): The Supreme Court Speaks</w:t>
      </w:r>
    </w:p>
    <w:p>
      <w:pPr>
        <w:spacing w:after="80"/>
      </w:pPr>
      <w:r>
        <w:rPr>
          <w:b/>
          <w:bCs/>
        </w:rPr>
        <w:t xml:space="preserve">Timecode: </w:t>
      </w:r>
      <w:r>
        <w:t xml:space="preserve">10:15 – 12:15   </w:t>
      </w:r>
      <w:r>
        <w:rPr>
          <w:b/>
          <w:bCs/>
        </w:rPr>
        <w:t xml:space="preserve">Narration: </w:t>
      </w:r>
      <w:r>
        <w:t xml:space="preserve">240 words (about 96 s of speech)</w:t>
      </w:r>
    </w:p>
    <w:p>
      <w:pPr>
        <w:spacing w:after="40"/>
      </w:pPr>
      <w:r>
        <w:rPr>
          <w:b/>
          <w:bCs/>
        </w:rPr>
        <w:t xml:space="preserve">VISUALS</w:t>
      </w:r>
    </w:p>
    <w:p>
      <w:pPr>
        <w:pStyle w:val="ListParagraph"/>
        <w:numPr>
          <w:ilvl w:val="0"/>
          <w:numId w:val="12"/>
        </w:numPr>
        <w:spacing w:after="120"/>
      </w:pPr>
      <w:r>
        <w:t xml:space="preserve">Manim: a diagram of three House committees (three rectangles) sending arrows labeled "subpoena" not to the President directly but to two third parties: "Accounting firm" and "Banks." A dotted arrow from the President labeled "Sues to block (personal capacity)."</w:t>
      </w:r>
    </w:p>
    <w:p>
      <w:pPr>
        <w:pStyle w:val="ListParagraph"/>
        <w:numPr>
          <w:ilvl w:val="0"/>
          <w:numId w:val="12"/>
        </w:numPr>
        <w:spacing w:after="120"/>
      </w:pPr>
      <w:r>
        <w:t xml:space="preserve">Manim: a dial labeled "Judicial scrutiny" rotates. Position 1: "McGrain: could legislation be had?" (low). Position 3: "Nixon: demonstrated, specific need" (high). The needle settles in the middle: "Mazars: four-factor balancing."</w:t>
      </w:r>
    </w:p>
    <w:p>
      <w:pPr>
        <w:pStyle w:val="ListParagraph"/>
        <w:numPr>
          <w:ilvl w:val="0"/>
          <w:numId w:val="12"/>
        </w:numPr>
        <w:spacing w:after="120"/>
      </w:pPr>
      <w:r>
        <w:t xml:space="preserve">Manim: four cards fly in and arrange in a 2x2 grid, each with an icon: 1. Necessity (magnifying glass) "Can other sources provide it?" 2. Scope (funnel) "No broader than reasonably necessary." 3. Evidence (document stack) "Detailed and substantial, not vague." 4. Burdens (weight) "Assess burdens on the President."</w:t>
      </w:r>
    </w:p>
    <w:p>
      <w:pPr>
        <w:pStyle w:val="ListParagraph"/>
        <w:numPr>
          <w:ilvl w:val="0"/>
          <w:numId w:val="12"/>
        </w:numPr>
        <w:spacing w:after="120"/>
      </w:pPr>
      <w:r>
        <w:t xml:space="preserve">QUOTE CARD.</w:t>
      </w:r>
    </w:p>
    <w:p>
      <w:pPr>
        <w:pStyle w:val="ListParagraph"/>
        <w:numPr>
          <w:ilvl w:val="0"/>
          <w:numId w:val="12"/>
        </w:numPr>
        <w:spacing w:after="120"/>
      </w:pPr>
      <w:r>
        <w:t xml:space="preserve">Vote tally animates: 7 to 2.</w:t>
      </w:r>
    </w:p>
    <w:p>
      <w:pPr>
        <w:spacing w:after="40"/>
      </w:pPr>
      <w:r>
        <w:rPr>
          <w:b/>
          <w:bCs/>
        </w:rPr>
        <w:t xml:space="preserve">QUOTE CARDS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blHeader w:val="false"/>
        </w:trPr>
        <w:tc>
          <w:tcPr>
            <w:tcW w:type="dxa" w:w="9360"/>
            <w:tcBorders>
              <w:top w:val="single" w:color="000000" w:sz="2"/>
              <w:left w:val="single" w:color="000000" w:sz="2"/>
              <w:bottom w:val="single" w:color="000000" w:sz="2"/>
              <w:right w:val="single" w:color="000000" w:sz="2"/>
            </w:tcBorders>
            <w:shd w:fill="FBF4E4" w:color="auto" w:val="clear"/>
            <w:tcMar>
              <w:top w:type="dxa" w:w="80"/>
              <w:left w:type="dxa" w:w="120"/>
              <w:bottom w:type="dxa" w:w="80"/>
              <w:right w:type="dxa" w:w="120"/>
            </w:tcMar>
            <w:vAlign w:val="center"/>
          </w:tcPr>
          <w:p>
            <w:r>
              <w:rPr>
                <w:sz w:val="26"/>
                <w:szCs w:val="26"/>
              </w:rPr>
              <w:t xml:space="preserve">Courts must balance the “legislative interests of Congress” against “the ‘unique position’ of the President.”</w:t>
            </w:r>
          </w:p>
          <w:p>
            <w:pPr>
              <w:jc w:val="right"/>
            </w:pPr>
            <w:r>
              <w:rPr>
                <w:i/>
                <w:iCs/>
              </w:rPr>
              <w:t xml:space="preserve">— Trump v. Mazars USA, LLP (2020)</w:t>
            </w:r>
          </w:p>
        </w:tc>
      </w:tr>
    </w:tbl>
    <w:p>
      <w:pPr>
        <w:spacing w:before="120" w:after="40"/>
      </w:pPr>
      <w:r>
        <w:rPr>
          <w:b/>
          <w:bCs/>
        </w:rPr>
        <w:t xml:space="preserve">NARRATION (send to Cartesia as file scene_10)</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blHeader w:val="false"/>
        </w:trPr>
        <w:tc>
          <w:tcPr>
            <w:tcW w:type="dxa" w:w="9360"/>
            <w:tcBorders>
              <w:top w:val="single" w:color="000000" w:sz="2"/>
              <w:left w:val="single" w:color="000000" w:sz="2"/>
              <w:bottom w:val="single" w:color="000000" w:sz="2"/>
              <w:right w:val="single" w:color="000000" w:sz="2"/>
            </w:tcBorders>
            <w:shd w:fill="EEF3F8" w:color="auto" w:val="clear"/>
            <w:tcMar>
              <w:top w:type="dxa" w:w="80"/>
              <w:left w:type="dxa" w:w="120"/>
              <w:bottom w:type="dxa" w:w="80"/>
              <w:right w:type="dxa" w:w="120"/>
            </w:tcMar>
            <w:vAlign w:val="center"/>
          </w:tcPr>
          <w:p>
            <w:pPr>
              <w:spacing w:after="0"/>
              <w:jc w:val="left"/>
            </w:pPr>
            <w:r>
              <w:t xml:space="preserve">For more than two centuries, the Supreme Court never squarely decided an investigative fight between Congress and the President. That changed in 2020. Three House committees subpoenaed President Trump's personal financial records, not from the President, but from his accounting firm and his banks. Because the records were personal, executive privilege was not on the table. The President sued in his personal capacity to block the subpoenas. The lower courts applied the old, deferential McGrain test, and the committees won. The Supreme Court, by a vote of seven to two, sent the case back. Chief Justice Roberts reasoned that the old test was not enough here. Nearly any presidential paper could relate to some conceivable subject of legislation, which would give Congress a weapon to harass a rival branch. But the Court also rejected the President's proposed test, borrowed from the Nixon cases, as too demanding. Instead, courts must balance the "legislative interests of Congress" against the "unique position" of the President, using four considerations. &lt;break time="400ms"/&gt; First, necessity. Can Congress reasonably get this information from other sources? Second, scope. Is the subpoena no broader than reasonably necessary? Third, evidence. Has Congress offered detailed and substantial evidence of its legislative purpose, rather than vague assertions? And fourth, burdens. What burdens does the subpoena place on the President? &lt;break time="500ms"/&gt; The message is twofold. The President is not immune from congressional investigation. But when Congress comes for the President's information, courts will now look harder.</w:t>
            </w:r>
          </w:p>
        </w:tc>
      </w:tr>
    </w:tbl>
    <w:p>
      <w:pPr>
        <w:pStyle w:val="Heading2"/>
      </w:pPr>
      <w:r>
        <w:t xml:space="preserve">Scene 11: Enforcement: Where Law Meets Politics</w:t>
      </w:r>
    </w:p>
    <w:p>
      <w:pPr>
        <w:spacing w:after="80"/>
      </w:pPr>
      <w:r>
        <w:rPr>
          <w:b/>
          <w:bCs/>
        </w:rPr>
        <w:t xml:space="preserve">Timecode: </w:t>
      </w:r>
      <w:r>
        <w:t xml:space="preserve">12:15 – 13:45   </w:t>
      </w:r>
      <w:r>
        <w:rPr>
          <w:b/>
          <w:bCs/>
        </w:rPr>
        <w:t xml:space="preserve">Narration: </w:t>
      </w:r>
      <w:r>
        <w:t xml:space="preserve">165 words (about 66 s of speech)</w:t>
      </w:r>
    </w:p>
    <w:p>
      <w:pPr>
        <w:spacing w:after="40"/>
      </w:pPr>
      <w:r>
        <w:rPr>
          <w:b/>
          <w:bCs/>
        </w:rPr>
        <w:t xml:space="preserve">VISUALS</w:t>
      </w:r>
    </w:p>
    <w:p>
      <w:pPr>
        <w:pStyle w:val="ListParagraph"/>
        <w:numPr>
          <w:ilvl w:val="0"/>
          <w:numId w:val="13"/>
        </w:numPr>
        <w:spacing w:after="120"/>
      </w:pPr>
      <w:r>
        <w:t xml:space="preserve">Manim: three doors in a row, each labeled. Door 1: "Criminal contempt." Door 2: "Civil lawsuit." Door 3: "Inherent contempt." As narration covers each, the door opens to reveal its obstacle icon: Door 1 reveals a Justice Department building with a "Declines to prosecute" stamp; Door 2 reveals an hourglass draining while a calendar flips past "End of Congress"; Door 3 reveals cobwebs and the label "Last used 1935."</w:t>
      </w:r>
    </w:p>
    <w:p>
      <w:pPr>
        <w:pStyle w:val="ListParagraph"/>
        <w:numPr>
          <w:ilvl w:val="0"/>
          <w:numId w:val="13"/>
        </w:numPr>
        <w:spacing w:after="120"/>
      </w:pPr>
      <w:r>
        <w:t xml:space="preserve">Manim: a tug-of-war rope between "Congress" and "Executive." Labels pop along the rope: "Appropriations," "Nominations," "Public hearings," "Impeachment." The rope settles in the middle and the word "ACCOMMODATION" fades in.</w:t>
      </w:r>
    </w:p>
    <w:p>
      <w:pPr>
        <w:pStyle w:val="ListParagraph"/>
        <w:numPr>
          <w:ilvl w:val="0"/>
          <w:numId w:val="13"/>
        </w:numPr>
        <w:spacing w:after="120"/>
      </w:pPr>
      <w:r>
        <w:t xml:space="preserve">QUOTE CARD.</w:t>
      </w:r>
    </w:p>
    <w:p>
      <w:pPr>
        <w:spacing w:after="40"/>
      </w:pPr>
      <w:r>
        <w:rPr>
          <w:b/>
          <w:bCs/>
        </w:rPr>
        <w:t xml:space="preserve">QUOTE CARDS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blHeader w:val="false"/>
        </w:trPr>
        <w:tc>
          <w:tcPr>
            <w:tcW w:type="dxa" w:w="9360"/>
            <w:tcBorders>
              <w:top w:val="single" w:color="000000" w:sz="2"/>
              <w:left w:val="single" w:color="000000" w:sz="2"/>
              <w:bottom w:val="single" w:color="000000" w:sz="2"/>
              <w:right w:val="single" w:color="000000" w:sz="2"/>
            </w:tcBorders>
            <w:shd w:fill="FBF4E4" w:color="auto" w:val="clear"/>
            <w:tcMar>
              <w:top w:type="dxa" w:w="80"/>
              <w:left w:type="dxa" w:w="120"/>
              <w:bottom w:type="dxa" w:w="80"/>
              <w:right w:type="dxa" w:w="120"/>
            </w:tcMar>
            <w:vAlign w:val="center"/>
          </w:tcPr>
          <w:p>
            <w:r>
              <w:rPr>
                <w:sz w:val="26"/>
                <w:szCs w:val="26"/>
              </w:rPr>
              <w:t xml:space="preserve">Each branch should seek “an optimal accommodation” of the other’s needs.</w:t>
            </w:r>
          </w:p>
          <w:p>
            <w:pPr>
              <w:jc w:val="right"/>
            </w:pPr>
            <w:r>
              <w:rPr>
                <w:i/>
                <w:iCs/>
              </w:rPr>
              <w:t xml:space="preserve">— United States v. AT&amp;T (D.C. Cir. 1976)</w:t>
            </w:r>
          </w:p>
        </w:tc>
      </w:tr>
    </w:tbl>
    <w:p>
      <w:pPr>
        <w:spacing w:before="120" w:after="40"/>
      </w:pPr>
      <w:r>
        <w:rPr>
          <w:b/>
          <w:bCs/>
        </w:rPr>
        <w:t xml:space="preserve">NARRATION (send to Cartesia as file scene_11)</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blHeader w:val="false"/>
        </w:trPr>
        <w:tc>
          <w:tcPr>
            <w:tcW w:type="dxa" w:w="9360"/>
            <w:tcBorders>
              <w:top w:val="single" w:color="000000" w:sz="2"/>
              <w:left w:val="single" w:color="000000" w:sz="2"/>
              <w:bottom w:val="single" w:color="000000" w:sz="2"/>
              <w:right w:val="single" w:color="000000" w:sz="2"/>
            </w:tcBorders>
            <w:shd w:fill="EEF3F8" w:color="auto" w:val="clear"/>
            <w:tcMar>
              <w:top w:type="dxa" w:w="80"/>
              <w:left w:type="dxa" w:w="120"/>
              <w:bottom w:type="dxa" w:w="80"/>
              <w:right w:type="dxa" w:w="120"/>
            </w:tcMar>
            <w:vAlign w:val="center"/>
          </w:tcPr>
          <w:p>
            <w:pPr>
              <w:spacing w:after="0"/>
              <w:jc w:val="left"/>
            </w:pPr>
            <w:r>
              <w:t xml:space="preserve">A subpoena is only as strong as its enforcement, and here Congress faces real obstacles. Door number one: criminal contempt. The chamber refers the matter to a United States Attorney. But the Justice Department generally will not prosecute an official who withholds information on the President's instructions based on executive privilege. Door number two: a civil lawsuit asking a court to order compliance. That works in theory, but litigation is slow, and it can outlast the very Congress that issued the subpoena. Door number three: inherent contempt, where the chamber arrests and tries the witness itself, as the Senate did in McGrain. It has not been used since 1935. So most disputes end another way. Congress pulls political levers: appropriations, nominations, public hearings, and ultimately impeachment. The branches then negotiate in what courts call the accommodation process, where each branch seeks "an optimal accommodation" of the other's needs. The Supreme Court in Mazars endorsed that tradition and warned that courts should be the last resort.</w:t>
            </w:r>
          </w:p>
        </w:tc>
      </w:tr>
    </w:tbl>
    <w:p>
      <w:pPr>
        <w:pStyle w:val="Heading2"/>
      </w:pPr>
      <w:r>
        <w:t xml:space="preserve">Scene 12: Closing: The Big Picture</w:t>
      </w:r>
    </w:p>
    <w:p>
      <w:pPr>
        <w:spacing w:after="80"/>
      </w:pPr>
      <w:r>
        <w:rPr>
          <w:b/>
          <w:bCs/>
        </w:rPr>
        <w:t xml:space="preserve">Timecode: </w:t>
      </w:r>
      <w:r>
        <w:t xml:space="preserve">13:45 – 15:00   </w:t>
      </w:r>
      <w:r>
        <w:rPr>
          <w:b/>
          <w:bCs/>
        </w:rPr>
        <w:t xml:space="preserve">Narration: </w:t>
      </w:r>
      <w:r>
        <w:t xml:space="preserve">163 words (about 65 s of speech)</w:t>
      </w:r>
    </w:p>
    <w:p>
      <w:pPr>
        <w:spacing w:after="40"/>
      </w:pPr>
      <w:r>
        <w:rPr>
          <w:b/>
          <w:bCs/>
        </w:rPr>
        <w:t xml:space="preserve">VISUALS</w:t>
      </w:r>
    </w:p>
    <w:p>
      <w:pPr>
        <w:pStyle w:val="ListParagraph"/>
        <w:numPr>
          <w:ilvl w:val="0"/>
          <w:numId w:val="14"/>
        </w:numPr>
        <w:spacing w:after="120"/>
      </w:pPr>
      <w:r>
        <w:t xml:space="preserve">Manim: the earlier timeline returns and extends: 1792 St. Clair; 1881 Kilbourn; 1927 McGrain; 1957 Watkins; 1959 Barenblatt; 1974 Nixon; 1975 Eastland; 2008 Miers; 2019 McGahn; 2020 Mazars. Each node lights up in sequence with a short label.</w:t>
      </w:r>
    </w:p>
    <w:p>
      <w:pPr>
        <w:pStyle w:val="ListParagraph"/>
        <w:numPr>
          <w:ilvl w:val="0"/>
          <w:numId w:val="14"/>
        </w:numPr>
        <w:spacing w:after="120"/>
      </w:pPr>
      <w:r>
        <w:t xml:space="preserve">Manim: a three-layer summary graphic. Bottom layer, wide: "Broad, implied power." Middle layer: "Deferential doctrinal limits." Top layer, narrow and glowing: "Separation of powers and politics decide interbranch fights."</w:t>
      </w:r>
    </w:p>
    <w:p>
      <w:pPr>
        <w:pStyle w:val="ListParagraph"/>
        <w:numPr>
          <w:ilvl w:val="0"/>
          <w:numId w:val="14"/>
        </w:numPr>
        <w:spacing w:after="120"/>
      </w:pPr>
      <w:r>
        <w:t xml:space="preserve">Final Ken Burns slow push in on the Capitol dome at dusk (licensed or public domain image). Fade to black.</w:t>
      </w:r>
    </w:p>
    <w:p>
      <w:pPr>
        <w:pStyle w:val="ListParagraph"/>
        <w:numPr>
          <w:ilvl w:val="0"/>
          <w:numId w:val="14"/>
        </w:numPr>
        <w:spacing w:after="120"/>
      </w:pPr>
      <w:r>
        <w:t xml:space="preserve">End card: three discussion questions appear one by one (see on-screen text).</w:t>
      </w:r>
    </w:p>
    <w:p>
      <w:pPr>
        <w:spacing w:before="120" w:after="40"/>
      </w:pPr>
      <w:r>
        <w:rPr>
          <w:b/>
          <w:bCs/>
        </w:rPr>
        <w:t xml:space="preserve">NARRATION (send to Cartesia as file scene_12)</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blHeader w:val="false"/>
        </w:trPr>
        <w:tc>
          <w:tcPr>
            <w:tcW w:type="dxa" w:w="9360"/>
            <w:tcBorders>
              <w:top w:val="single" w:color="000000" w:sz="2"/>
              <w:left w:val="single" w:color="000000" w:sz="2"/>
              <w:bottom w:val="single" w:color="000000" w:sz="2"/>
              <w:right w:val="single" w:color="000000" w:sz="2"/>
            </w:tcBorders>
            <w:shd w:fill="EEF3F8" w:color="auto" w:val="clear"/>
            <w:tcMar>
              <w:top w:type="dxa" w:w="80"/>
              <w:left w:type="dxa" w:w="120"/>
              <w:bottom w:type="dxa" w:w="80"/>
              <w:right w:type="dxa" w:w="120"/>
            </w:tcMar>
            <w:vAlign w:val="center"/>
          </w:tcPr>
          <w:p>
            <w:pPr>
              <w:spacing w:after="0"/>
              <w:jc w:val="left"/>
            </w:pPr>
            <w:r>
              <w:t xml:space="preserve">Let us zoom out. The investigative power began as an inference from two words, legislative powers, and grew into one of Congress's most potent tools. Its doctrinal limits, legislative purpose, pertinence, and individual rights, were built mostly in cases about private citizens, and they are deferential to Congress. When Congress investigates the executive branch, the real constraints come from the separation of powers: executive privilege, contested immunity claims, the Mazars balancing test, and above all the practical difficulty of enforcement. &lt;break time="500ms"/&gt; So here is the lesson for future lawyers. This is a field where doctrine tells you the boundaries, but institutional strategy tells you how disputes actually end. Before our next class, think about three questions. Is Mazars a special rule for Presidents, or a sign that the legislative purpose test is getting tougher for everyone? Should courts decide these fights at all? And if the Justice Department will not prosecute, does Congress need a new way to enforce its subpoenas? &lt;break time="400ms"/&gt; Thanks for watching.</w:t>
            </w:r>
          </w:p>
        </w:tc>
      </w:tr>
    </w:tbl>
    <w:p>
      <w:pPr>
        <w:pStyle w:val="Heading2"/>
      </w:pPr>
      <w:r>
        <w:t xml:space="preserve">End Card: On-Screen Discussion Questions</w:t>
      </w:r>
    </w:p>
    <w:p>
      <w:pPr>
        <w:pStyle w:val="ListParagraph"/>
        <w:numPr>
          <w:ilvl w:val="0"/>
          <w:numId w:val="15"/>
        </w:numPr>
        <w:spacing w:after="120"/>
      </w:pPr>
      <w:r>
        <w:t xml:space="preserve">Is Mazars a special rule for Presidents, or a sign that the legislative purpose test is getting tougher for everyone?</w:t>
      </w:r>
    </w:p>
    <w:p>
      <w:pPr>
        <w:pStyle w:val="ListParagraph"/>
        <w:numPr>
          <w:ilvl w:val="0"/>
          <w:numId w:val="15"/>
        </w:numPr>
        <w:spacing w:after="120"/>
      </w:pPr>
      <w:r>
        <w:t xml:space="preserve">Should courts decide interbranch information disputes at all?</w:t>
      </w:r>
    </w:p>
    <w:p>
      <w:pPr>
        <w:pStyle w:val="ListParagraph"/>
        <w:numPr>
          <w:ilvl w:val="0"/>
          <w:numId w:val="15"/>
        </w:numPr>
        <w:spacing w:after="120"/>
      </w:pPr>
      <w:r>
        <w:t xml:space="preserve">If the Justice Department will not prosecute, does Congress need a new way to enforce its subpoenas?</w:t>
      </w:r>
    </w:p>
    <w:p>
      <w:pPr>
        <w:pStyle w:val="Heading1"/>
      </w:pPr>
      <w:r>
        <w:t xml:space="preserve">Notes for the Production Team</w:t>
      </w:r>
    </w:p>
    <w:p>
      <w:pPr>
        <w:pStyle w:val="ListParagraph"/>
        <w:numPr>
          <w:ilvl w:val="0"/>
          <w:numId w:val="2"/>
        </w:numPr>
        <w:spacing w:after="120"/>
      </w:pPr>
      <w:r>
        <w:t xml:space="preserve">Verify every quotation against the official opinion before rendering. Quote cards abbreviate the surrounding sentence in places; keep the words inside the quotation marks exactly as written, and do not add or alter words within them.</w:t>
      </w:r>
    </w:p>
    <w:p>
      <w:pPr>
        <w:pStyle w:val="ListParagraph"/>
        <w:numPr>
          <w:ilvl w:val="0"/>
          <w:numId w:val="2"/>
        </w:numPr>
        <w:spacing w:after="120"/>
      </w:pPr>
      <w:r>
        <w:t xml:space="preserve">The McGrain quotation contains dashes in the original (“the power of inquiry—with process to enforce it—is…”); render the em dashes on screen even though the narration reads them as pauses.</w:t>
      </w:r>
    </w:p>
    <w:p>
      <w:pPr>
        <w:pStyle w:val="ListParagraph"/>
        <w:numPr>
          <w:ilvl w:val="0"/>
          <w:numId w:val="2"/>
        </w:numPr>
        <w:spacing w:after="120"/>
      </w:pPr>
      <w:r>
        <w:t xml:space="preserve">Do not depict real individuals in animation; use photographs only where rights are cleared, and use neutral icons otherwise.</w:t>
      </w:r>
    </w:p>
    <w:p>
      <w:pPr>
        <w:pStyle w:val="ListParagraph"/>
        <w:numPr>
          <w:ilvl w:val="0"/>
          <w:numId w:val="2"/>
        </w:numPr>
        <w:spacing w:after="120"/>
      </w:pPr>
      <w:r>
        <w:t xml:space="preserve">Render each Manim scene as its own class (Scene01ColdOpen, Scene02MissingWord, and so on) so scenes can be re-rendered independently after voice-over timing is known.</w:t>
      </w:r>
    </w:p>
    <w:p>
      <w:pPr>
        <w:pStyle w:val="ListParagraph"/>
        <w:numPr>
          <w:ilvl w:val="0"/>
          <w:numId w:val="2"/>
        </w:numPr>
        <w:spacing w:after="120"/>
      </w:pPr>
      <w:r>
        <w:t xml:space="preserve">Add closed captions generated from the narration text, and burn-in optional for classroom use.</w:t>
      </w:r>
    </w:p>
    <w:sectPr>
      <w:footerReference w:type="default" r:id="rId6"/>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jc w:val="center"/>
    </w:pPr>
    <w:r>
      <w:rPr>
        <w:sz w:val="18"/>
        <w:szCs w:val="18"/>
      </w:rPr>
      <w:t xml:space="preserve">Page </w:t>
    </w:r>
    <w:r>
      <w:rPr>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3" w15:restartNumberingAfterBreak="0">
    <w:multiLevelType w:val="hybridMultilevel"/>
    <w:lvl w:ilvl="0" w15:tentative="1">
      <w:start w:val="1"/>
      <w:numFmt w:val="decimal"/>
      <w:lvlText w:val="%1."/>
      <w:lvlJc w:val="left"/>
      <w:pPr>
        <w:ind w:left="720" w:hanging="360"/>
      </w:pPr>
    </w:lvl>
    <w:lvl w:ilvl="1" w15:tentative="1">
      <w:start w:val="1"/>
      <w:numFmt w:val="lowerLetter"/>
      <w:lvlText w:val="%2."/>
      <w:lvlJc w:val="left"/>
      <w:pPr>
        <w:ind w:left="1440" w:hanging="360"/>
      </w:pPr>
    </w:lvl>
    <w:lvl w:ilvl="2" w15:tentative="1">
      <w:start w:val="1"/>
      <w:numFmt w:val="lowerRoman"/>
      <w:lvlText w:val="%3."/>
      <w:lvlJc w:val="left"/>
      <w:pPr>
        <w:ind w:left="2160" w:hanging="360"/>
      </w:pPr>
    </w:lvl>
    <w:lvl w:ilvl="3" w15:tentative="1">
      <w:start w:val="1"/>
      <w:numFmt w:val="decimal"/>
      <w:lvlText w:val="%4."/>
      <w:lvlJc w:val="left"/>
      <w:pPr>
        <w:ind w:left="2880" w:hanging="360"/>
      </w:pPr>
    </w:lvl>
    <w:lvl w:ilvl="4" w15:tentative="1">
      <w:start w:val="1"/>
      <w:numFmt w:val="lowerLetter"/>
      <w:lvlText w:val="%5."/>
      <w:lvlJc w:val="left"/>
      <w:pPr>
        <w:ind w:left="3600" w:hanging="360"/>
      </w:pPr>
    </w:lvl>
    <w:lvl w:ilvl="5" w15:tentative="1">
      <w:start w:val="1"/>
      <w:numFmt w:val="lowerRoman"/>
      <w:lvlText w:val="%6."/>
      <w:lvlJc w:val="left"/>
      <w:pPr>
        <w:ind w:left="4320" w:hanging="360"/>
      </w:pPr>
    </w:lvl>
    <w:lvl w:ilvl="6" w15:tentative="1">
      <w:start w:val="1"/>
      <w:numFmt w:val="decimal"/>
      <w:lvlText w:val="%7."/>
      <w:lvlJc w:val="left"/>
      <w:pPr>
        <w:ind w:left="5040" w:hanging="360"/>
      </w:pPr>
    </w:lvl>
    <w:lvl w:ilvl="7" w15:tentative="1">
      <w:start w:val="1"/>
      <w:numFmt w:val="lowerLetter"/>
      <w:lvlText w:val="%8."/>
      <w:lvlJc w:val="left"/>
      <w:pPr>
        <w:ind w:left="5760" w:hanging="360"/>
      </w:pPr>
    </w:lvl>
    <w:lvl w:ilvl="8" w15:tentative="1">
      <w:start w:val="1"/>
      <w:numFmt w:val="lowerRoman"/>
      <w:lvlText w:val="%9."/>
      <w:lvlJc w:val="left"/>
      <w:pPr>
        <w:ind w:left="6480" w:hanging="360"/>
      </w:pPr>
    </w:lvl>
  </w:abstractNum>
  <w:abstractNum w:abstractNumId="4" w15:restartNumberingAfterBreak="0">
    <w:multiLevelType w:val="hybridMultilevel"/>
    <w:lvl w:ilvl="0" w15:tentative="1">
      <w:start w:val="1"/>
      <w:numFmt w:val="decimal"/>
      <w:lvlText w:val="%1."/>
      <w:lvlJc w:val="left"/>
      <w:pPr>
        <w:ind w:left="720" w:hanging="720"/>
      </w:pPr>
    </w:lvl>
    <w:lvl w:ilvl="1" w15:tentative="1">
      <w:start w:val="1"/>
      <w:numFmt w:val="decimal"/>
      <w:lvlText w:val="%1.%2"/>
      <w:lvlJc w:val="left"/>
      <w:pPr>
        <w:ind w:left="720" w:hanging="720"/>
      </w:pPr>
    </w:lvl>
    <w:lvl w:ilvl="2" w15:tentative="1">
      <w:start w:val="1"/>
      <w:numFmt w:val="lowerLetter"/>
      <w:lvlText w:val="(%3)"/>
      <w:lvlJc w:val="left"/>
      <w:pPr>
        <w:ind w:left="1440" w:hanging="720"/>
      </w:pPr>
    </w:lvl>
    <w:lvl w:ilvl="3" w15:tentative="1">
      <w:start w:val="1"/>
      <w:numFmt w:val="lowerRoman"/>
      <w:lvlText w:val="(%4)"/>
      <w:lvlJc w:val="left"/>
      <w:pPr>
        <w:ind w:left="2160" w:hanging="720"/>
      </w:pPr>
    </w:lvl>
    <w:lvl w:ilvl="4" w15:tentative="1">
      <w:start w:val="1"/>
      <w:numFmt w:val="decimal"/>
      <w:lvlText w:val="(%5)"/>
      <w:lvlJc w:val="left"/>
      <w:pPr>
        <w:ind w:left="2880" w:hanging="720"/>
      </w:pPr>
    </w:lvl>
    <w:lvl w:ilvl="5" w15:tentative="1">
      <w:start w:val="1"/>
      <w:numFmt w:val="lowerLetter"/>
      <w:lvlText w:val="(%6)"/>
      <w:lvlJc w:val="left"/>
      <w:pPr>
        <w:ind w:left="3600" w:hanging="720"/>
      </w:pPr>
    </w:lvl>
    <w:lvl w:ilvl="6" w15:tentative="1">
      <w:start w:val="1"/>
      <w:numFmt w:val="lowerRoman"/>
      <w:lvlText w:val="(%7)"/>
      <w:lvlJc w:val="left"/>
      <w:pPr>
        <w:ind w:left="4320" w:hanging="720"/>
      </w:pPr>
    </w:lvl>
    <w:lvl w:ilvl="7" w15:tentative="1">
      <w:start w:val="1"/>
      <w:numFmt w:val="decimal"/>
      <w:lvlText w:val="(%8)"/>
      <w:lvlJc w:val="left"/>
      <w:pPr>
        <w:ind w:left="5040" w:hanging="720"/>
      </w:pPr>
    </w:lvl>
    <w:lvl w:ilvl="8" w15:tentative="1">
      <w:start w:val="1"/>
      <w:numFmt w:val="lowerLetter"/>
      <w:lvlText w:val="(%9)"/>
      <w:lvlJc w:val="left"/>
      <w:pPr>
        <w:ind w:left="5760" w:hanging="720"/>
      </w:pPr>
    </w:lvl>
  </w:abstractNum>
  <w:abstractNum w:abstractNumId="5" w15:restartNumberingAfterBreak="0">
    <w:multiLevelType w:val="hybridMultilevel"/>
    <w:lvl w:ilvl="0" w15:tentative="1">
      <w:start w:val="1"/>
      <w:numFmt w:val="decimal"/>
      <w:lvlText w:val="%1."/>
      <w:lvlJc w:val="left"/>
      <w:pPr>
        <w:ind w:left="720" w:hanging="720"/>
      </w:pPr>
    </w:lvl>
    <w:lvl w:ilvl="1" w15:tentative="1">
      <w:start w:val="1"/>
      <w:numFmt w:val="decimal"/>
      <w:lvlText w:val="%1.%2"/>
      <w:lvlJc w:val="left"/>
      <w:pPr>
        <w:ind w:left="720" w:hanging="720"/>
      </w:pPr>
    </w:lvl>
    <w:lvl w:ilvl="2" w15:tentative="1">
      <w:start w:val="1"/>
      <w:numFmt w:val="decimal"/>
      <w:lvlText w:val="%1.%2.%3"/>
      <w:lvlJc w:val="left"/>
      <w:pPr>
        <w:ind w:left="720" w:hanging="720"/>
      </w:pPr>
    </w:lvl>
    <w:lvl w:ilvl="3" w15:tentative="1">
      <w:start w:val="1"/>
      <w:numFmt w:val="decimal"/>
      <w:lvlText w:val="%1.%2.%3.%4"/>
      <w:lvlJc w:val="left"/>
      <w:pPr>
        <w:ind w:left="720" w:hanging="720"/>
      </w:pPr>
    </w:lvl>
    <w:lvl w:ilvl="4" w15:tentative="1">
      <w:start w:val="1"/>
      <w:numFmt w:val="decimal"/>
      <w:lvlText w:val="%1.%2.%3.%4.%5"/>
      <w:lvlJc w:val="left"/>
      <w:pPr>
        <w:ind w:left="720" w:hanging="720"/>
      </w:pPr>
    </w:lvl>
    <w:lvl w:ilvl="5" w15:tentative="1">
      <w:start w:val="1"/>
      <w:numFmt w:val="decimal"/>
      <w:lvlText w:val="%1.%2.%3.%4.%5.%6"/>
      <w:lvlJc w:val="left"/>
      <w:pPr>
        <w:ind w:left="720" w:hanging="720"/>
      </w:pPr>
    </w:lvl>
    <w:lvl w:ilvl="6" w15:tentative="1">
      <w:start w:val="1"/>
      <w:numFmt w:val="decimal"/>
      <w:lvlText w:val="%1.%2.%3.%4.%5.%6.%7"/>
      <w:lvlJc w:val="left"/>
      <w:pPr>
        <w:ind w:left="720" w:hanging="720"/>
      </w:pPr>
    </w:lvl>
    <w:lvl w:ilvl="7" w15:tentative="1">
      <w:start w:val="1"/>
      <w:numFmt w:val="decimal"/>
      <w:lvlText w:val="%1.%2.%3.%4.%5.%6.%7.%8"/>
      <w:lvlJc w:val="left"/>
      <w:pPr>
        <w:ind w:left="720" w:hanging="720"/>
      </w:pPr>
    </w:lvl>
    <w:lvl w:ilvl="8" w15:tentative="1">
      <w:start w:val="1"/>
      <w:numFmt w:val="decimal"/>
      <w:lvlText w:val="%1.%2.%3.%4.%5.%6.%7.%8.%9"/>
      <w:lvlJc w:val="left"/>
      <w:pPr>
        <w:ind w:left="720" w:hanging="720"/>
      </w:pPr>
    </w:lvl>
  </w:abstractNum>
  <w:abstractNum w:abstractNumId="6" w15:restartNumberingAfterBreak="0">
    <w:multiLevelType w:val="hybridMultilevel"/>
    <w:lvl w:ilvl="0" w15:tentative="1">
      <w:start w:val="1"/>
      <w:numFmt w:val="upperLetter"/>
      <w:lvlText w:val="(%1)"/>
      <w:lvlJc w:val="left"/>
      <w:pPr>
        <w:ind w:left="720" w:hanging="720"/>
      </w:pPr>
    </w:lvl>
    <w:lvl w:ilvl="1" w15:tentative="1">
      <w:start w:val="1"/>
      <w:numFmt w:val="lowerRoman"/>
      <w:lvlText w:val="(%2)"/>
      <w:lvlJc w:val="left"/>
      <w:pPr>
        <w:ind w:left="720" w:hanging="720"/>
      </w:pPr>
    </w:lvl>
    <w:lvl w:ilvl="2" w15:tentative="1">
      <w:start w:val="1"/>
      <w:numFmt w:val="decimal"/>
      <w:lvlText w:val="(%3)"/>
      <w:lvlJc w:val="left"/>
      <w:pPr>
        <w:ind w:left="1440" w:hanging="720"/>
      </w:pPr>
    </w:lvl>
    <w:lvl w:ilvl="3" w15:tentative="1">
      <w:start w:val="1"/>
      <w:numFmt w:val="lowerLetter"/>
      <w:lvlText w:val="(%4)"/>
      <w:lvlJc w:val="left"/>
      <w:pPr>
        <w:ind w:left="2160" w:hanging="720"/>
      </w:pPr>
    </w:lvl>
    <w:lvl w:ilvl="4" w15:tentative="1">
      <w:start w:val="1"/>
      <w:numFmt w:val="lowerRoman"/>
      <w:lvlText w:val="(%5)"/>
      <w:lvlJc w:val="left"/>
      <w:pPr>
        <w:ind w:left="2880" w:hanging="720"/>
      </w:pPr>
    </w:lvl>
    <w:lvl w:ilvl="5" w15:tentative="1">
      <w:start w:val="1"/>
      <w:numFmt w:val="decimal"/>
      <w:lvlText w:val="(%6)"/>
      <w:lvlJc w:val="left"/>
      <w:pPr>
        <w:ind w:left="3600" w:hanging="720"/>
      </w:pPr>
    </w:lvl>
    <w:lvl w:ilvl="6" w15:tentative="1">
      <w:start w:val="1"/>
      <w:numFmt w:val="lowerLetter"/>
      <w:lvlText w:val="(%7)"/>
      <w:lvlJc w:val="left"/>
      <w:pPr>
        <w:ind w:left="4320" w:hanging="720"/>
      </w:pPr>
    </w:lvl>
    <w:lvl w:ilvl="7" w15:tentative="1">
      <w:start w:val="1"/>
      <w:numFmt w:val="lowerRoman"/>
      <w:lvlText w:val="(%8)"/>
      <w:lvlJc w:val="left"/>
      <w:pPr>
        <w:ind w:left="5040" w:hanging="720"/>
      </w:pPr>
    </w:lvl>
    <w:lvl w:ilvl="8" w15:tentative="1">
      <w:start w:val="1"/>
      <w:numFmt w:val="decimal"/>
      <w:lvlText w:val="(%9)"/>
      <w:lvlJc w:val="left"/>
      <w:pPr>
        <w:ind w:left="5760" w:hanging="7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3"/>
    <w:lvlOverride w:ilvl="0">
      <w:startOverride w:val="1"/>
    </w:lvlOverride>
  </w:num>
  <w:num w:numId="7">
    <w:abstractNumId w:val="3"/>
    <w:lvlOverride w:ilvl="0">
      <w:startOverride w:val="1"/>
    </w:lvlOverride>
  </w:num>
  <w:num w:numId="8">
    <w:abstractNumId w:val="3"/>
    <w:lvlOverride w:ilvl="0">
      <w:startOverride w:val="1"/>
    </w:lvlOverride>
  </w:num>
  <w:num w:numId="9">
    <w:abstractNumId w:val="3"/>
    <w:lvlOverride w:ilvl="0">
      <w:startOverride w:val="1"/>
    </w:lvlOverride>
  </w:num>
  <w:num w:numId="10">
    <w:abstractNumId w:val="3"/>
    <w:lvlOverride w:ilvl="0">
      <w:startOverride w:val="1"/>
    </w:lvlOverride>
  </w:num>
  <w:num w:numId="11">
    <w:abstractNumId w:val="3"/>
    <w:lvlOverride w:ilvl="0">
      <w:startOverride w:val="1"/>
    </w:lvlOverride>
  </w:num>
  <w:num w:numId="12">
    <w:abstractNumId w:val="3"/>
    <w:lvlOverride w:ilvl="0">
      <w:startOverride w:val="1"/>
    </w:lvlOverride>
  </w:num>
  <w:num w:numId="13">
    <w:abstractNumId w:val="3"/>
    <w:lvlOverride w:ilvl="0">
      <w:startOverride w:val="1"/>
    </w:lvlOverride>
  </w:num>
  <w:num w:numId="14">
    <w:abstractNumId w:val="3"/>
    <w:lvlOverride w:ilvl="0">
      <w:startOverride w:val="1"/>
    </w:lvlOverride>
  </w:num>
  <w:num w:numId="15">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000000"/>
        <w:sz w:val="24"/>
        <w:szCs w:val="24"/>
        <w:rFonts w:ascii="Times New Roman" w:cs="Times New Roman" w:eastAsia="Times New Roman" w:hAnsi="Times New Roman"/>
      </w:rPr>
    </w:rPrDefault>
    <w:pPrDefault>
      <w:pPr>
        <w:spacing w:line="240" w:after="16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keepNext/>
      <w:spacing w:before="240" w:after="240" w:line="240"/>
      <w:outlineLvl w:val="0"/>
    </w:pPr>
    <w:rPr>
      <w:b/>
      <w:bCs/>
      <w:color w:val="000000"/>
      <w:sz w:val="32"/>
      <w:szCs w:val="32"/>
      <w:rFonts w:ascii="Times New Roman" w:cs="Times New Roman" w:eastAsia="Times New Roman" w:hAnsi="Times New Roman"/>
    </w:rPr>
  </w:style>
  <w:style w:type="paragraph" w:styleId="Heading2">
    <w:name w:val="Heading 2"/>
    <w:basedOn w:val="Normal"/>
    <w:next w:val="Normal"/>
    <w:qFormat/>
    <w:pPr>
      <w:keepNext/>
      <w:spacing w:before="180" w:after="180" w:line="240"/>
      <w:outlineLvl w:val="1"/>
    </w:pPr>
    <w:rPr>
      <w:b/>
      <w:bCs/>
      <w:color w:val="000000"/>
      <w:sz w:val="28"/>
      <w:szCs w:val="28"/>
      <w:rFonts w:ascii="Times New Roman" w:cs="Times New Roman" w:eastAsia="Times New Roman" w:hAnsi="Times New Roman"/>
    </w:rPr>
  </w:style>
  <w:style w:type="paragraph" w:styleId="Heading3">
    <w:name w:val="Heading 3"/>
    <w:basedOn w:val="Normal"/>
    <w:next w:val="Normal"/>
    <w:qFormat/>
    <w:pPr>
      <w:keepNext/>
      <w:spacing w:before="120" w:after="120" w:line="240"/>
      <w:outlineLvl w:val="2"/>
    </w:pPr>
    <w:rPr>
      <w:b/>
      <w:bCs/>
      <w:color w:val="000000"/>
      <w:sz w:val="26"/>
      <w:szCs w:val="26"/>
      <w:rFonts w:ascii="Times New Roman" w:cs="Times New Roman" w:eastAsia="Times New Roman" w:hAnsi="Times New Roman"/>
    </w:rPr>
  </w:style>
  <w:style w:type="paragraph" w:styleId="Heading4">
    <w:name w:val="Heading 4"/>
    <w:basedOn w:val="Normal"/>
    <w:next w:val="Normal"/>
    <w:qFormat/>
    <w:pPr>
      <w:keepNext/>
      <w:spacing w:before="120" w:after="120" w:line="240"/>
      <w:outlineLvl w:val="3"/>
    </w:pPr>
    <w:rPr>
      <w:b/>
      <w:bCs/>
      <w:color w:val="000000"/>
      <w:sz w:val="24"/>
      <w:szCs w:val="24"/>
      <w:rFonts w:ascii="Times New Roman" w:cs="Times New Roman" w:eastAsia="Times New Roman" w:hAnsi="Times New Roman"/>
    </w:rPr>
  </w:style>
  <w:style w:type="paragraph" w:styleId="HarveyCellOnDark">
    <w:name w:val="Harvey Cell On Dark"/>
    <w:basedOn w:val="Normal"/>
    <w:rPr>
      <w:color w:val="FFFFFF"/>
    </w:rPr>
  </w:style>
  <w:style w:type="paragraph" w:styleId="TOCHeading">
    <w:name w:val="TOC Heading"/>
    <w:basedOn w:val="Normal"/>
    <w:next w:val="Normal"/>
    <w:pPr>
      <w:spacing w:after="240"/>
    </w:pPr>
    <w:rPr>
      <w:b/>
      <w:bCs/>
      <w:color w:val="000000"/>
      <w:sz w:val="28"/>
      <w:szCs w:val="28"/>
      <w:rFonts w:ascii="Times New Roman" w:cs="Times New Roman" w:eastAsia="Times New Roman" w:hAnsi="Times New Roman"/>
    </w:rPr>
  </w:style>
  <w:style w:type="paragraph" w:styleId="TOC1">
    <w:name w:val="toc 1"/>
    <w:basedOn w:val="Normal"/>
    <w:next w:val="Normal"/>
    <w:pPr>
      <w:tabs>
        <w:tab w:val="right" w:pos="9026" w:leader="dot"/>
      </w:tabs>
      <w:spacing w:after="60"/>
      <w:ind w:left="0"/>
    </w:pPr>
  </w:style>
  <w:style w:type="paragraph" w:styleId="TOC2">
    <w:name w:val="toc 2"/>
    <w:basedOn w:val="Normal"/>
    <w:next w:val="Normal"/>
    <w:pPr>
      <w:tabs>
        <w:tab w:val="right" w:pos="9026" w:leader="dot"/>
      </w:tabs>
      <w:spacing w:after="60"/>
      <w:ind w:left="360"/>
    </w:pPr>
  </w:style>
  <w:style w:type="paragraph" w:styleId="TOC3">
    <w:name w:val="toc 3"/>
    <w:basedOn w:val="Normal"/>
    <w:next w:val="Normal"/>
    <w:pPr>
      <w:tabs>
        <w:tab w:val="right" w:pos="9026" w:leader="dot"/>
      </w:tabs>
      <w:spacing w:after="60"/>
      <w:ind w:left="720"/>
    </w:pPr>
  </w:style>
  <w:style w:type="paragraph" w:styleId="TOC4">
    <w:name w:val="toc 4"/>
    <w:basedOn w:val="Normal"/>
    <w:next w:val="Normal"/>
    <w:pPr>
      <w:tabs>
        <w:tab w:val="right" w:pos="9026" w:leader="dot"/>
      </w:tabs>
      <w:spacing w:after="60"/>
      <w:ind w:left="1080"/>
    </w:pPr>
  </w:style>
  <w:style w:type="paragraph" w:styleId="TOC5">
    <w:name w:val="toc 5"/>
    <w:basedOn w:val="Normal"/>
    <w:next w:val="Normal"/>
    <w:pPr>
      <w:tabs>
        <w:tab w:val="right" w:pos="9026" w:leader="dot"/>
      </w:tabs>
      <w:spacing w:after="60"/>
      <w:ind w:left="1440"/>
    </w:pPr>
  </w:style>
  <w:style w:type="paragraph" w:styleId="TOC6">
    <w:name w:val="toc 6"/>
    <w:basedOn w:val="Normal"/>
    <w:next w:val="Normal"/>
    <w:pPr>
      <w:tabs>
        <w:tab w:val="right" w:pos="9026" w:leader="dot"/>
      </w:tabs>
      <w:spacing w:after="60"/>
      <w:ind w:left="1800"/>
    </w:pPr>
  </w:style>
  <w:style w:type="paragraph" w:styleId="TOC7">
    <w:name w:val="toc 7"/>
    <w:basedOn w:val="Normal"/>
    <w:next w:val="Normal"/>
    <w:pPr>
      <w:tabs>
        <w:tab w:val="right" w:pos="9026" w:leader="dot"/>
      </w:tabs>
      <w:spacing w:after="60"/>
      <w:ind w:left="2160"/>
    </w:pPr>
  </w:style>
  <w:style w:type="paragraph" w:styleId="TOC8">
    <w:name w:val="toc 8"/>
    <w:basedOn w:val="Normal"/>
    <w:next w:val="Normal"/>
    <w:pPr>
      <w:tabs>
        <w:tab w:val="right" w:pos="9026" w:leader="dot"/>
      </w:tabs>
      <w:spacing w:after="60"/>
      <w:ind w:left="2520"/>
    </w:pPr>
  </w:style>
  <w:style w:type="paragraph" w:styleId="TOC9">
    <w:name w:val="toc 9"/>
    <w:basedOn w:val="Normal"/>
    <w:next w:val="Normal"/>
    <w:pPr>
      <w:tabs>
        <w:tab w:val="right" w:pos="9026" w:leader="dot"/>
      </w:tabs>
      <w:spacing w:after="60"/>
      <w:ind w:left="288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Seth Chandler</dc:creator>
  <cp:lastModifiedBy>Un-named</cp:lastModifiedBy>
  <cp:revision>1</cp:revision>
  <dcterms:created xsi:type="dcterms:W3CDTF">2026-11-04T13:27:38Z</dcterms:created>
  <dcterms:modified xsi:type="dcterms:W3CDTF">2026-11-04T13:27:38Z</dcterms:modified>
  <dc:description/>
</cp:coreProperties>
</file>

<file path=docProps/custom.xml><?xml version="1.0" encoding="utf-8"?>
<cp:Properties xmlns:cp="http://schemas.openxmlformats.org/officeDocument/2006/custom-properties" xmlns:vt="http://schemas.openxmlformats.org/officeDocument/2006/docPropsVTypes">
  <cp:property fmtid="{D5CDD505-2E9C-101B-9397-08002B2CF9AE}" pid="2" name="hydoc961a2f758dd6e52a">
    <vt:lpwstr>01a1a6bf-d6b9-72ab-aed4-5cda37e60063</vt:lpwstr>
  </cp:property>
</cp:Properties>
</file>