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B2C buyer persona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For help on how to fill this template in, check out our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B2C buyer persona example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﻿Remember: the characteristics are interchangeable. Depending on what’s most relevant for your business, you may want to remove or add additional fields.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335"/>
        <w:tblGridChange w:id="0">
          <w:tblGrid>
            <w:gridCol w:w="2985"/>
            <w:gridCol w:w="73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JOHN DOE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Bio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Personal details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Age: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Job: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Income: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Education: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Location: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Interests 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Goals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Emotional drivers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20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Barriers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4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Personality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Motivators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Purchase path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Communication preferences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Messaging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i w:val="1"/>
                <w:iCs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B2C buyer persona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CMaD8pTbZSUpiqVLiK276psPmGqRmighb5BN5rMQ7CY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