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acb774069pb" w:id="0"/>
      <w:bookmarkEnd w:id="0"/>
      <w:r w:rsidDel="00000000" w:rsidR="00000000" w:rsidRPr="00000000">
        <w:rPr>
          <w:rtl w:val="0"/>
        </w:rPr>
        <w:t xml:space="preserve">Competitive analysis framework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pStyle w:val="Subtitle"/>
        <w:rPr/>
      </w:pPr>
      <w:bookmarkStart w:colFirst="0" w:colLast="0" w:name="_eosrcd90sm0w" w:id="1"/>
      <w:bookmarkEnd w:id="1"/>
      <w:r w:rsidDel="00000000" w:rsidR="00000000" w:rsidRPr="00000000">
        <w:rPr>
          <w:rtl w:val="0"/>
        </w:rPr>
        <w:t xml:space="preserve">Porter’s Five Forces </w:t>
      </w:r>
    </w:p>
    <w:p w:rsidR="00000000" w:rsidDel="00000000" w:rsidP="00000000" w:rsidRDefault="00000000" w:rsidRPr="00000000" w14:paraId="00000003">
      <w:pPr>
        <w:rPr/>
      </w:pPr>
      <w:r w:rsidDel="00000000" w:rsidR="00000000" w:rsidRPr="00000000">
        <w:rPr>
          <w:rtl w:val="0"/>
        </w:rPr>
        <w:t xml:space="preserve">This framework is a simple and effective way to scope out the competitive landscape your business is operating in, revealing critical insights about new entrants, buyer and supplier power, competitive rivalry, and the threat of substitutes. By understanding these forces, you can navigate market challenges and seize opportunities to gain a competitive edge. </w:t>
      </w:r>
    </w:p>
    <w:p w:rsidR="00000000" w:rsidDel="00000000" w:rsidP="00000000" w:rsidRDefault="00000000" w:rsidRPr="00000000" w14:paraId="00000004">
      <w:pPr>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3390"/>
        <w:gridCol w:w="3765"/>
        <w:tblGridChange w:id="0">
          <w:tblGrid>
            <w:gridCol w:w="2925"/>
            <w:gridCol w:w="3390"/>
            <w:gridCol w:w="376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f9f8f5"/>
              </w:rPr>
            </w:pPr>
            <w:r w:rsidDel="00000000" w:rsidR="00000000" w:rsidRPr="00000000">
              <w:rPr>
                <w:b w:val="1"/>
                <w:bCs w:val="1"/>
                <w:color w:val="f9f8f5"/>
                <w:rtl w:val="0"/>
              </w:rPr>
              <w:t xml:space="preserve">Focus area</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after="0" w:line="240" w:lineRule="auto"/>
              <w:rPr>
                <w:b w:val="1"/>
                <w:bCs w:val="1"/>
                <w:color w:val="f9f8f5"/>
              </w:rPr>
            </w:pPr>
            <w:r w:rsidDel="00000000" w:rsidR="00000000" w:rsidRPr="00000000">
              <w:rPr>
                <w:b w:val="1"/>
                <w:bCs w:val="1"/>
                <w:color w:val="f9f8f5"/>
                <w:rtl w:val="0"/>
              </w:rPr>
              <w:t xml:space="preserve">What does it mean?</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after="0" w:line="240" w:lineRule="auto"/>
              <w:rPr>
                <w:b w:val="1"/>
                <w:bCs w:val="1"/>
                <w:color w:val="f9f8f5"/>
              </w:rPr>
            </w:pPr>
            <w:r w:rsidDel="00000000" w:rsidR="00000000" w:rsidRPr="00000000">
              <w:rPr>
                <w:b w:val="1"/>
                <w:bCs w:val="1"/>
                <w:color w:val="f9f8f5"/>
                <w:rtl w:val="0"/>
              </w:rPr>
              <w:t xml:space="preserve">What to look for</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Threat of new entrants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easily could a new competitor enter the market?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after="60" w:line="240" w:lineRule="auto"/>
              <w:rPr/>
            </w:pPr>
            <w:r w:rsidDel="00000000" w:rsidR="00000000" w:rsidRPr="00000000">
              <w:rPr>
                <w:rtl w:val="0"/>
              </w:rPr>
              <w:t xml:space="preserve">Time to entry</w:t>
            </w:r>
          </w:p>
          <w:p w:rsidR="00000000" w:rsidDel="00000000" w:rsidP="00000000" w:rsidRDefault="00000000" w:rsidRPr="00000000" w14:paraId="0000000B">
            <w:pPr>
              <w:widowControl w:val="0"/>
              <w:spacing w:after="60" w:line="240" w:lineRule="auto"/>
              <w:rPr/>
            </w:pPr>
            <w:r w:rsidDel="00000000" w:rsidR="00000000" w:rsidRPr="00000000">
              <w:rPr>
                <w:rtl w:val="0"/>
              </w:rPr>
              <w:t xml:space="preserve">Cost of entry</w:t>
            </w:r>
          </w:p>
          <w:p w:rsidR="00000000" w:rsidDel="00000000" w:rsidP="00000000" w:rsidRDefault="00000000" w:rsidRPr="00000000" w14:paraId="0000000C">
            <w:pPr>
              <w:widowControl w:val="0"/>
              <w:spacing w:after="60" w:line="240" w:lineRule="auto"/>
              <w:rPr/>
            </w:pPr>
            <w:r w:rsidDel="00000000" w:rsidR="00000000" w:rsidRPr="00000000">
              <w:rPr>
                <w:rtl w:val="0"/>
              </w:rPr>
              <w:t xml:space="preserve">Economies of scale</w:t>
            </w:r>
          </w:p>
          <w:p w:rsidR="00000000" w:rsidDel="00000000" w:rsidP="00000000" w:rsidRDefault="00000000" w:rsidRPr="00000000" w14:paraId="0000000D">
            <w:pPr>
              <w:widowControl w:val="0"/>
              <w:spacing w:after="60" w:line="240" w:lineRule="auto"/>
              <w:rPr/>
            </w:pPr>
            <w:r w:rsidDel="00000000" w:rsidR="00000000" w:rsidRPr="00000000">
              <w:rPr>
                <w:rtl w:val="0"/>
              </w:rPr>
              <w:t xml:space="preserve">Technological protection</w:t>
            </w:r>
          </w:p>
          <w:p w:rsidR="00000000" w:rsidDel="00000000" w:rsidP="00000000" w:rsidRDefault="00000000" w:rsidRPr="00000000" w14:paraId="0000000E">
            <w:pPr>
              <w:widowControl w:val="0"/>
              <w:spacing w:after="60" w:line="240" w:lineRule="auto"/>
              <w:rPr/>
            </w:pPr>
            <w:r w:rsidDel="00000000" w:rsidR="00000000" w:rsidRPr="00000000">
              <w:rPr>
                <w:rtl w:val="0"/>
              </w:rPr>
              <w:t xml:space="preserve">Other barriers to entry</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after="0" w:line="240" w:lineRule="auto"/>
              <w:rPr>
                <w:b w:val="1"/>
                <w:bCs w:val="1"/>
              </w:rPr>
            </w:pPr>
            <w:r w:rsidDel="00000000" w:rsidR="00000000" w:rsidRPr="00000000">
              <w:rPr>
                <w:b w:val="1"/>
                <w:bCs w:val="1"/>
                <w:rtl w:val="0"/>
              </w:rPr>
              <w:t xml:space="preserve">Bargaining power of buyers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after="0" w:line="240" w:lineRule="auto"/>
              <w:rPr/>
            </w:pPr>
            <w:r w:rsidDel="00000000" w:rsidR="00000000" w:rsidRPr="00000000">
              <w:rPr>
                <w:rtl w:val="0"/>
              </w:rPr>
              <w:t xml:space="preserve">How much power do your customers ultimately have?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after="60" w:line="240" w:lineRule="auto"/>
              <w:rPr/>
            </w:pPr>
            <w:r w:rsidDel="00000000" w:rsidR="00000000" w:rsidRPr="00000000">
              <w:rPr>
                <w:rtl w:val="0"/>
              </w:rPr>
              <w:t xml:space="preserve">Number of buyers</w:t>
            </w:r>
          </w:p>
          <w:p w:rsidR="00000000" w:rsidDel="00000000" w:rsidP="00000000" w:rsidRDefault="00000000" w:rsidRPr="00000000" w14:paraId="00000012">
            <w:pPr>
              <w:widowControl w:val="0"/>
              <w:spacing w:after="60" w:line="240" w:lineRule="auto"/>
              <w:rPr/>
            </w:pPr>
            <w:r w:rsidDel="00000000" w:rsidR="00000000" w:rsidRPr="00000000">
              <w:rPr>
                <w:rtl w:val="0"/>
              </w:rPr>
              <w:t xml:space="preserve">Purchase sizes</w:t>
            </w:r>
          </w:p>
          <w:p w:rsidR="00000000" w:rsidDel="00000000" w:rsidP="00000000" w:rsidRDefault="00000000" w:rsidRPr="00000000" w14:paraId="00000013">
            <w:pPr>
              <w:widowControl w:val="0"/>
              <w:spacing w:after="60" w:line="240" w:lineRule="auto"/>
              <w:rPr/>
            </w:pPr>
            <w:r w:rsidDel="00000000" w:rsidR="00000000" w:rsidRPr="00000000">
              <w:rPr>
                <w:rtl w:val="0"/>
              </w:rPr>
              <w:t xml:space="preserve">Price sensitivity</w:t>
            </w:r>
          </w:p>
          <w:p w:rsidR="00000000" w:rsidDel="00000000" w:rsidP="00000000" w:rsidRDefault="00000000" w:rsidRPr="00000000" w14:paraId="00000014">
            <w:pPr>
              <w:widowControl w:val="0"/>
              <w:spacing w:after="60" w:line="240" w:lineRule="auto"/>
              <w:rPr/>
            </w:pPr>
            <w:r w:rsidDel="00000000" w:rsidR="00000000" w:rsidRPr="00000000">
              <w:rPr>
                <w:rtl w:val="0"/>
              </w:rPr>
              <w:t xml:space="preserve">Ability to switch</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after="0" w:line="240" w:lineRule="auto"/>
              <w:rPr>
                <w:b w:val="1"/>
                <w:bCs w:val="1"/>
              </w:rPr>
            </w:pPr>
            <w:r w:rsidDel="00000000" w:rsidR="00000000" w:rsidRPr="00000000">
              <w:rPr>
                <w:b w:val="1"/>
                <w:bCs w:val="1"/>
                <w:rtl w:val="0"/>
              </w:rPr>
              <w:t xml:space="preserve">Bargaining power of suppliers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after="0" w:line="240" w:lineRule="auto"/>
              <w:rPr/>
            </w:pPr>
            <w:r w:rsidDel="00000000" w:rsidR="00000000" w:rsidRPr="00000000">
              <w:rPr>
                <w:rtl w:val="0"/>
              </w:rPr>
              <w:t xml:space="preserve">How much power do your suppliers ultimately have?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after="60" w:line="240" w:lineRule="auto"/>
              <w:rPr/>
            </w:pPr>
            <w:r w:rsidDel="00000000" w:rsidR="00000000" w:rsidRPr="00000000">
              <w:rPr>
                <w:rtl w:val="0"/>
              </w:rPr>
              <w:t xml:space="preserve">Number of suppliers</w:t>
            </w:r>
          </w:p>
          <w:p w:rsidR="00000000" w:rsidDel="00000000" w:rsidP="00000000" w:rsidRDefault="00000000" w:rsidRPr="00000000" w14:paraId="00000018">
            <w:pPr>
              <w:widowControl w:val="0"/>
              <w:spacing w:after="60" w:line="240" w:lineRule="auto"/>
              <w:rPr/>
            </w:pPr>
            <w:r w:rsidDel="00000000" w:rsidR="00000000" w:rsidRPr="00000000">
              <w:rPr>
                <w:rtl w:val="0"/>
              </w:rPr>
              <w:t xml:space="preserve">Unique capacity of suppliers</w:t>
            </w:r>
          </w:p>
          <w:p w:rsidR="00000000" w:rsidDel="00000000" w:rsidP="00000000" w:rsidRDefault="00000000" w:rsidRPr="00000000" w14:paraId="00000019">
            <w:pPr>
              <w:widowControl w:val="0"/>
              <w:spacing w:after="60" w:line="240" w:lineRule="auto"/>
              <w:rPr/>
            </w:pPr>
            <w:r w:rsidDel="00000000" w:rsidR="00000000" w:rsidRPr="00000000">
              <w:rPr>
                <w:rtl w:val="0"/>
              </w:rPr>
              <w:t xml:space="preserve">Your ability to substitute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after="0" w:line="240" w:lineRule="auto"/>
              <w:rPr>
                <w:b w:val="1"/>
                <w:bCs w:val="1"/>
              </w:rPr>
            </w:pPr>
            <w:r w:rsidDel="00000000" w:rsidR="00000000" w:rsidRPr="00000000">
              <w:rPr>
                <w:b w:val="1"/>
                <w:bCs w:val="1"/>
                <w:rtl w:val="0"/>
              </w:rPr>
              <w:t xml:space="preserve">Intensity of </w:t>
              <w:br w:type="textWrapping"/>
              <w:t xml:space="preserve">competitive rivalry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after="0" w:line="240" w:lineRule="auto"/>
              <w:rPr/>
            </w:pPr>
            <w:r w:rsidDel="00000000" w:rsidR="00000000" w:rsidRPr="00000000">
              <w:rPr>
                <w:rtl w:val="0"/>
              </w:rPr>
              <w:t xml:space="preserve">How many competitors are currently in the market and how much is it growing?</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after="60" w:line="240" w:lineRule="auto"/>
              <w:rPr/>
            </w:pPr>
            <w:r w:rsidDel="00000000" w:rsidR="00000000" w:rsidRPr="00000000">
              <w:rPr>
                <w:rtl w:val="0"/>
              </w:rPr>
              <w:t xml:space="preserve">Number of competitors</w:t>
            </w:r>
          </w:p>
          <w:p w:rsidR="00000000" w:rsidDel="00000000" w:rsidP="00000000" w:rsidRDefault="00000000" w:rsidRPr="00000000" w14:paraId="0000001D">
            <w:pPr>
              <w:widowControl w:val="0"/>
              <w:spacing w:after="60" w:line="240" w:lineRule="auto"/>
              <w:rPr/>
            </w:pPr>
            <w:r w:rsidDel="00000000" w:rsidR="00000000" w:rsidRPr="00000000">
              <w:rPr>
                <w:rtl w:val="0"/>
              </w:rPr>
              <w:t xml:space="preserve">Difference in quality</w:t>
            </w:r>
          </w:p>
          <w:p w:rsidR="00000000" w:rsidDel="00000000" w:rsidP="00000000" w:rsidRDefault="00000000" w:rsidRPr="00000000" w14:paraId="0000001E">
            <w:pPr>
              <w:widowControl w:val="0"/>
              <w:spacing w:after="60" w:line="240" w:lineRule="auto"/>
              <w:rPr/>
            </w:pPr>
            <w:r w:rsidDel="00000000" w:rsidR="00000000" w:rsidRPr="00000000">
              <w:rPr>
                <w:rtl w:val="0"/>
              </w:rPr>
              <w:t xml:space="preserve">User loyalty</w:t>
            </w:r>
          </w:p>
          <w:p w:rsidR="00000000" w:rsidDel="00000000" w:rsidP="00000000" w:rsidRDefault="00000000" w:rsidRPr="00000000" w14:paraId="0000001F">
            <w:pPr>
              <w:widowControl w:val="0"/>
              <w:spacing w:after="60" w:line="240" w:lineRule="auto"/>
              <w:rPr/>
            </w:pPr>
            <w:r w:rsidDel="00000000" w:rsidR="00000000" w:rsidRPr="00000000">
              <w:rPr>
                <w:rtl w:val="0"/>
              </w:rPr>
              <w:t xml:space="preserve">Switching costs for users</w:t>
            </w:r>
          </w:p>
          <w:p w:rsidR="00000000" w:rsidDel="00000000" w:rsidP="00000000" w:rsidRDefault="00000000" w:rsidRPr="00000000" w14:paraId="00000020">
            <w:pPr>
              <w:widowControl w:val="0"/>
              <w:spacing w:after="60" w:line="240" w:lineRule="auto"/>
              <w:rPr/>
            </w:pPr>
            <w:r w:rsidDel="00000000" w:rsidR="00000000" w:rsidRPr="00000000">
              <w:rPr>
                <w:rtl w:val="0"/>
              </w:rPr>
              <w:t xml:space="preserve">Growth of market</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after="0" w:line="240" w:lineRule="auto"/>
              <w:rPr>
                <w:b w:val="1"/>
                <w:bCs w:val="1"/>
              </w:rPr>
            </w:pPr>
            <w:r w:rsidDel="00000000" w:rsidR="00000000" w:rsidRPr="00000000">
              <w:rPr>
                <w:b w:val="1"/>
                <w:bCs w:val="1"/>
                <w:rtl w:val="0"/>
              </w:rPr>
              <w:t xml:space="preserve">Threat of substitutes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after="0" w:line="240" w:lineRule="auto"/>
              <w:rPr/>
            </w:pPr>
            <w:r w:rsidDel="00000000" w:rsidR="00000000" w:rsidRPr="00000000">
              <w:rPr>
                <w:rtl w:val="0"/>
              </w:rPr>
              <w:t xml:space="preserve">How likely are users to switch to an alternative?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after="60" w:line="240" w:lineRule="auto"/>
              <w:rPr/>
            </w:pPr>
            <w:r w:rsidDel="00000000" w:rsidR="00000000" w:rsidRPr="00000000">
              <w:rPr>
                <w:rtl w:val="0"/>
              </w:rPr>
              <w:t xml:space="preserve">Performance of competitors</w:t>
            </w:r>
          </w:p>
          <w:p w:rsidR="00000000" w:rsidDel="00000000" w:rsidP="00000000" w:rsidRDefault="00000000" w:rsidRPr="00000000" w14:paraId="00000024">
            <w:pPr>
              <w:widowControl w:val="0"/>
              <w:spacing w:after="60" w:line="240" w:lineRule="auto"/>
              <w:rPr/>
            </w:pPr>
            <w:r w:rsidDel="00000000" w:rsidR="00000000" w:rsidRPr="00000000">
              <w:rPr>
                <w:rtl w:val="0"/>
              </w:rPr>
              <w:t xml:space="preserve">Cost of change</w:t>
            </w:r>
          </w:p>
        </w:tc>
      </w:tr>
    </w:tbl>
    <w:p w:rsidR="00000000" w:rsidDel="00000000" w:rsidP="00000000" w:rsidRDefault="00000000" w:rsidRPr="00000000" w14:paraId="00000025">
      <w:pPr>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720" w:top="1886.4"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ectra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oppi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7791450" cy="203835"/>
          <wp:effectExtent b="0" l="0" r="0" t="0"/>
          <wp:wrapNone/>
          <wp:docPr id="2" name="image1.png"/>
          <a:graphic>
            <a:graphicData uri="http://schemas.openxmlformats.org/drawingml/2006/picture">
              <pic:pic>
                <pic:nvPicPr>
                  <pic:cNvPr id="0" name="image1.png"/>
                  <pic:cNvPicPr preferRelativeResize="0"/>
                </pic:nvPicPr>
                <pic:blipFill>
                  <a:blip r:embed="rId1"/>
                  <a:srcRect b="77407" l="0" r="0" t="429"/>
                  <a:stretch>
                    <a:fillRect/>
                  </a:stretch>
                </pic:blipFill>
                <pic:spPr>
                  <a:xfrm>
                    <a:off x="0" y="0"/>
                    <a:ext cx="7791450" cy="2038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Style w:val="Heading1"/>
      <w:spacing w:after="0" w:before="200" w:line="240" w:lineRule="auto"/>
      <w:ind w:right="360"/>
      <w:rPr/>
    </w:pPr>
    <w:bookmarkStart w:colFirst="0" w:colLast="0" w:name="_3zj7b473j7v6" w:id="2"/>
    <w:bookmarkEnd w:id="2"/>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923515"/>
          <wp:effectExtent b="0" l="0" r="0" t="0"/>
          <wp:wrapNone/>
          <wp:docPr id="1" name="image1.png"/>
          <a:graphic>
            <a:graphicData uri="http://schemas.openxmlformats.org/drawingml/2006/picture">
              <pic:pic>
                <pic:nvPicPr>
                  <pic:cNvPr id="0" name="image1.png"/>
                  <pic:cNvPicPr preferRelativeResize="0"/>
                </pic:nvPicPr>
                <pic:blipFill>
                  <a:blip r:embed="rId1"/>
                  <a:srcRect b="429" l="0" r="0" t="429"/>
                  <a:stretch>
                    <a:fillRect/>
                  </a:stretch>
                </pic:blipFill>
                <pic:spPr>
                  <a:xfrm>
                    <a:off x="0" y="0"/>
                    <a:ext cx="7786688" cy="923515"/>
                  </a:xfrm>
                  <a:prstGeom prst="rect"/>
                  <a:ln/>
                </pic:spPr>
              </pic:pic>
            </a:graphicData>
          </a:graphic>
        </wp:anchor>
      </w:drawing>
    </w:r>
    <w:r w:rsidDel="00000000" w:rsidR="00000000" w:rsidRPr="00000000">
      <w:rPr>
        <w:rtl w:val="0"/>
      </w:rPr>
      <w:t xml:space="preserve">Competitive analysis framework – Porter's Five Forces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SpectralLight-italic.ttf"/><Relationship Id="rId10" Type="http://schemas.openxmlformats.org/officeDocument/2006/relationships/font" Target="fonts/SpectralLight-bold.ttf"/><Relationship Id="rId13" Type="http://schemas.openxmlformats.org/officeDocument/2006/relationships/font" Target="fonts/PoppinsSemiBold-regular.ttf"/><Relationship Id="rId12" Type="http://schemas.openxmlformats.org/officeDocument/2006/relationships/font" Target="fonts/SpectralLight-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Light-regular.ttf"/><Relationship Id="rId15" Type="http://schemas.openxmlformats.org/officeDocument/2006/relationships/font" Target="fonts/PoppinsSemiBold-italic.ttf"/><Relationship Id="rId14" Type="http://schemas.openxmlformats.org/officeDocument/2006/relationships/font" Target="fonts/PoppinsSemiBold-bold.ttf"/><Relationship Id="rId16" Type="http://schemas.openxmlformats.org/officeDocument/2006/relationships/font" Target="fonts/PoppinsSemiBold-boldItalic.ttf"/><Relationship Id="rId5" Type="http://schemas.openxmlformats.org/officeDocument/2006/relationships/font" Target="fonts/Spectral-regular.ttf"/><Relationship Id="rId6" Type="http://schemas.openxmlformats.org/officeDocument/2006/relationships/font" Target="fonts/Spectral-bold.ttf"/><Relationship Id="rId7" Type="http://schemas.openxmlformats.org/officeDocument/2006/relationships/font" Target="fonts/Spectral-italic.ttf"/><Relationship Id="rId8" Type="http://schemas.openxmlformats.org/officeDocument/2006/relationships/font" Target="fonts/Spectra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