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276B" w14:textId="1BCB7BF2" w:rsidR="00C17306" w:rsidRPr="00C17306" w:rsidRDefault="00C17306" w:rsidP="00C17306">
      <w:r w:rsidRPr="00C17306">
        <w:rPr>
          <w:b/>
          <w:bCs/>
        </w:rPr>
        <w:t xml:space="preserve">**REGULATION 18 </w:t>
      </w:r>
      <w:r w:rsidR="00C6232F">
        <w:rPr>
          <w:b/>
          <w:bCs/>
        </w:rPr>
        <w:t xml:space="preserve">SHORTENED </w:t>
      </w:r>
      <w:r w:rsidRPr="00C17306">
        <w:rPr>
          <w:b/>
          <w:bCs/>
        </w:rPr>
        <w:t>RESPONSE GUIDE</w:t>
      </w:r>
      <w:r w:rsidR="00C6232F">
        <w:rPr>
          <w:b/>
          <w:bCs/>
        </w:rPr>
        <w:t xml:space="preserve"> </w:t>
      </w:r>
      <w:r w:rsidRPr="00C17306">
        <w:t>Sevenoaks District Council Local Plan 2042**</w:t>
      </w:r>
      <w:r w:rsidRPr="00C17306">
        <w:br/>
      </w:r>
      <w:r w:rsidRPr="00C17306">
        <w:rPr>
          <w:b/>
          <w:bCs/>
        </w:rPr>
        <w:t xml:space="preserve">How to submit your consultation responses </w:t>
      </w:r>
      <w:r w:rsidRPr="00C17306">
        <w:rPr>
          <w:b/>
          <w:bCs/>
          <w:highlight w:val="green"/>
        </w:rPr>
        <w:t xml:space="preserve">by </w:t>
      </w:r>
      <w:r w:rsidR="00FC1DFB" w:rsidRPr="00FC1DFB">
        <w:rPr>
          <w:b/>
          <w:bCs/>
          <w:highlight w:val="green"/>
        </w:rPr>
        <w:t xml:space="preserve">11:59pm on Thursday, </w:t>
      </w:r>
      <w:r w:rsidRPr="00C17306">
        <w:rPr>
          <w:b/>
          <w:bCs/>
          <w:highlight w:val="green"/>
        </w:rPr>
        <w:t>11 December 2025</w:t>
      </w:r>
      <w:r w:rsidRPr="00C17306">
        <w:br/>
      </w:r>
      <w:r w:rsidRPr="00C17306">
        <w:rPr>
          <w:i/>
          <w:iCs/>
        </w:rPr>
        <w:t>(Clear, step-by-step and policy-focused)</w:t>
      </w:r>
    </w:p>
    <w:p w14:paraId="3826380C" w14:textId="77777777" w:rsidR="00C17306" w:rsidRPr="00C17306" w:rsidRDefault="00C17306" w:rsidP="00C17306">
      <w:r w:rsidRPr="00C17306">
        <w:pict w14:anchorId="7187A79B">
          <v:rect id="_x0000_i1097" style="width:0;height:1.5pt" o:hralign="center" o:hrstd="t" o:hr="t" fillcolor="#a0a0a0" stroked="f"/>
        </w:pict>
      </w:r>
    </w:p>
    <w:p w14:paraId="2D40E7B9" w14:textId="77777777" w:rsidR="00C17306" w:rsidRPr="00C17306" w:rsidRDefault="00C17306" w:rsidP="00C17306">
      <w:pPr>
        <w:rPr>
          <w:b/>
          <w:bCs/>
        </w:rPr>
      </w:pPr>
      <w:r w:rsidRPr="00C17306">
        <w:rPr>
          <w:b/>
          <w:bCs/>
        </w:rPr>
        <w:t>Purpose of this guide</w:t>
      </w:r>
    </w:p>
    <w:p w14:paraId="2E066300" w14:textId="48870611" w:rsidR="00C17306" w:rsidRPr="00C17306" w:rsidRDefault="00C17306" w:rsidP="00C17306">
      <w:r w:rsidRPr="00C17306">
        <w:t xml:space="preserve">This document explains </w:t>
      </w:r>
      <w:r w:rsidRPr="00C17306">
        <w:rPr>
          <w:b/>
          <w:bCs/>
        </w:rPr>
        <w:t>how to respond to the Sevenoaks Local Plan Regulation 18 consultation</w:t>
      </w:r>
      <w:r w:rsidR="00C6232F">
        <w:rPr>
          <w:b/>
          <w:bCs/>
        </w:rPr>
        <w:t xml:space="preserve"> </w:t>
      </w:r>
      <w:r w:rsidR="00F909DB" w:rsidRPr="00F909DB">
        <w:t>for</w:t>
      </w:r>
      <w:r w:rsidR="00F909DB">
        <w:rPr>
          <w:b/>
          <w:bCs/>
        </w:rPr>
        <w:t xml:space="preserve"> </w:t>
      </w:r>
      <w:r w:rsidR="00C6232F">
        <w:t>object</w:t>
      </w:r>
      <w:r w:rsidR="00F909DB">
        <w:t>ion</w:t>
      </w:r>
      <w:r w:rsidR="00C6232F">
        <w:t xml:space="preserve"> to development at PED1 &amp; SWAN17</w:t>
      </w:r>
      <w:r w:rsidRPr="00C17306">
        <w:t>, and how to structure comments effectively so they carry weight in planning law. It is written to help residents respond confidently — even without specialist knowledge.</w:t>
      </w:r>
    </w:p>
    <w:p w14:paraId="4610B2B8" w14:textId="77777777" w:rsidR="00C17306" w:rsidRPr="00C17306" w:rsidRDefault="00C17306" w:rsidP="00C17306">
      <w:r w:rsidRPr="00C17306">
        <w:t xml:space="preserve">This guide draws on work prepared by Crockenhill, Eynsford &amp; Farningham Parish Councils and may include AI-generated wording. It may contain unintentional inaccuracies, so you should add evidence, policy references or page numbers where possible. </w:t>
      </w:r>
    </w:p>
    <w:p w14:paraId="09A50DC5" w14:textId="77777777" w:rsidR="00C17306" w:rsidRPr="00C17306" w:rsidRDefault="00C17306" w:rsidP="00C17306">
      <w:r w:rsidRPr="00C17306">
        <w:t>STEP BY STEP GUIDE - WHAT TO DO…</w:t>
      </w:r>
    </w:p>
    <w:p w14:paraId="1C0DF8A3" w14:textId="77777777" w:rsidR="00C17306" w:rsidRPr="00C17306" w:rsidRDefault="00C17306" w:rsidP="00C17306">
      <w:r w:rsidRPr="00C17306">
        <w:pict w14:anchorId="7C35DB18">
          <v:rect id="_x0000_i1098" style="width:0;height:1.5pt" o:hralign="center" o:hrstd="t" o:hr="t" fillcolor="#a0a0a0" stroked="f"/>
        </w:pict>
      </w:r>
    </w:p>
    <w:p w14:paraId="5F085649" w14:textId="77777777" w:rsidR="00C17306" w:rsidRPr="00C17306" w:rsidRDefault="00C17306" w:rsidP="00C17306">
      <w:pPr>
        <w:rPr>
          <w:b/>
          <w:bCs/>
        </w:rPr>
      </w:pPr>
      <w:r w:rsidRPr="00C17306">
        <w:rPr>
          <w:b/>
          <w:bCs/>
        </w:rPr>
        <w:t>Before You Start</w:t>
      </w:r>
    </w:p>
    <w:p w14:paraId="5DE31CE3" w14:textId="14ED6200" w:rsidR="00C17306" w:rsidRPr="00C17306" w:rsidRDefault="00C17306" w:rsidP="00C17306">
      <w:r w:rsidRPr="00C17306">
        <w:rPr>
          <w:rFonts w:ascii="Segoe UI Symbol" w:hAnsi="Segoe UI Symbol" w:cs="Segoe UI Symbol"/>
        </w:rPr>
        <w:t>✔</w:t>
      </w:r>
      <w:r w:rsidRPr="00C17306">
        <w:t xml:space="preserve"> There are </w:t>
      </w:r>
      <w:r w:rsidRPr="00C17306">
        <w:rPr>
          <w:b/>
          <w:bCs/>
        </w:rPr>
        <w:t>two surveys</w:t>
      </w:r>
      <w:r w:rsidRPr="00C17306">
        <w:t xml:space="preserve"> to complete:</w:t>
      </w:r>
      <w:r w:rsidRPr="00C17306">
        <w:br/>
      </w:r>
      <w:r w:rsidRPr="00C17306">
        <w:rPr>
          <w:b/>
          <w:bCs/>
        </w:rPr>
        <w:t>(1) Sites</w:t>
      </w:r>
      <w:r w:rsidRPr="00C17306">
        <w:t xml:space="preserve"> &amp; </w:t>
      </w:r>
      <w:r w:rsidRPr="00C17306">
        <w:rPr>
          <w:b/>
          <w:bCs/>
        </w:rPr>
        <w:t>(2) Policies and Evidence Base</w:t>
      </w:r>
      <w:r w:rsidRPr="00C17306">
        <w:br/>
        <w:t>You should ideally complete both</w:t>
      </w:r>
      <w:r w:rsidRPr="00C17306">
        <w:rPr>
          <w:highlight w:val="green"/>
        </w:rPr>
        <w:t>.</w:t>
      </w:r>
      <w:r w:rsidR="00F909DB" w:rsidRPr="00FC1DFB">
        <w:rPr>
          <w:highlight w:val="green"/>
        </w:rPr>
        <w:t xml:space="preserve">  They take time and the server is slow so don’t leave this until late.</w:t>
      </w:r>
    </w:p>
    <w:p w14:paraId="6CD81FA8" w14:textId="77777777" w:rsidR="00C17306" w:rsidRPr="00C17306" w:rsidRDefault="00C17306" w:rsidP="00C17306">
      <w:r w:rsidRPr="00C17306">
        <w:rPr>
          <w:rFonts w:ascii="Segoe UI Symbol" w:hAnsi="Segoe UI Symbol" w:cs="Segoe UI Symbol"/>
        </w:rPr>
        <w:t>✔</w:t>
      </w:r>
      <w:r w:rsidRPr="00C17306">
        <w:t xml:space="preserve"> Every household member over </w:t>
      </w:r>
      <w:r w:rsidRPr="00C17306">
        <w:rPr>
          <w:b/>
          <w:bCs/>
        </w:rPr>
        <w:t>age 12</w:t>
      </w:r>
      <w:r w:rsidRPr="00C17306">
        <w:t xml:space="preserve"> can respond. Multiple responses strengthen community impact.</w:t>
      </w:r>
    </w:p>
    <w:p w14:paraId="3A435F27" w14:textId="77777777" w:rsidR="00C17306" w:rsidRPr="00C17306" w:rsidRDefault="00C17306" w:rsidP="00C17306">
      <w:r w:rsidRPr="00C17306">
        <w:rPr>
          <w:rFonts w:ascii="Segoe UI Symbol" w:hAnsi="Segoe UI Symbol" w:cs="Segoe UI Symbol"/>
        </w:rPr>
        <w:t>✔</w:t>
      </w:r>
      <w:r w:rsidRPr="00C17306">
        <w:t xml:space="preserve"> Write your comments first in Word or notes to avoid time-outs, then paste into the online form.</w:t>
      </w:r>
    </w:p>
    <w:p w14:paraId="45A61D08" w14:textId="77777777" w:rsidR="00C17306" w:rsidRPr="00C17306" w:rsidRDefault="00C17306" w:rsidP="00C17306">
      <w:r w:rsidRPr="00C17306">
        <w:rPr>
          <w:rFonts w:ascii="Segoe UI Symbol" w:hAnsi="Segoe UI Symbol" w:cs="Segoe UI Symbol"/>
        </w:rPr>
        <w:t>⚠</w:t>
      </w:r>
      <w:r w:rsidRPr="00C17306">
        <w:t xml:space="preserve"> Copy-and-paste is discouraged — identical responses may be counted as </w:t>
      </w:r>
      <w:r w:rsidRPr="00C17306">
        <w:rPr>
          <w:b/>
          <w:bCs/>
        </w:rPr>
        <w:t>one</w:t>
      </w:r>
      <w:r w:rsidRPr="00C17306">
        <w:t>.</w:t>
      </w:r>
    </w:p>
    <w:p w14:paraId="10B488C9" w14:textId="77777777" w:rsidR="00C17306" w:rsidRPr="00C17306" w:rsidRDefault="00C17306" w:rsidP="00C17306">
      <w:r w:rsidRPr="00C17306">
        <w:pict w14:anchorId="3923163D">
          <v:rect id="_x0000_i1099" style="width:0;height:1.5pt" o:hralign="center" o:hrstd="t" o:hr="t" fillcolor="#a0a0a0" stroked="f"/>
        </w:pict>
      </w:r>
    </w:p>
    <w:p w14:paraId="78F0486E" w14:textId="77777777" w:rsidR="00C17306" w:rsidRPr="00C17306" w:rsidRDefault="00C17306" w:rsidP="00C17306">
      <w:r w:rsidRPr="00C17306">
        <w:pict w14:anchorId="1218F901">
          <v:rect id="_x0000_i1100" style="width:0;height:1.5pt" o:hralign="center" o:hrstd="t" o:hr="t" fillcolor="#a0a0a0" stroked="f"/>
        </w:pict>
      </w:r>
    </w:p>
    <w:p w14:paraId="351793C1" w14:textId="77777777" w:rsidR="00C17306" w:rsidRPr="00C17306" w:rsidRDefault="00C17306" w:rsidP="00C17306">
      <w:pPr>
        <w:rPr>
          <w:b/>
          <w:bCs/>
        </w:rPr>
      </w:pPr>
      <w:r w:rsidRPr="00C17306">
        <w:rPr>
          <w:b/>
          <w:bCs/>
          <w:highlight w:val="green"/>
        </w:rPr>
        <w:t>SURVEY #1 – SITE COMMENTS</w:t>
      </w:r>
    </w:p>
    <w:p w14:paraId="648C2D40" w14:textId="77777777" w:rsidR="00C17306" w:rsidRPr="00C17306" w:rsidRDefault="00C17306" w:rsidP="00C17306">
      <w:pPr>
        <w:rPr>
          <w:b/>
          <w:bCs/>
        </w:rPr>
      </w:pPr>
      <w:r w:rsidRPr="00C17306">
        <w:rPr>
          <w:b/>
          <w:bCs/>
        </w:rPr>
        <w:t>STEP 1 – Access the Survey</w:t>
      </w:r>
    </w:p>
    <w:p w14:paraId="70B0DDCB" w14:textId="016B0D4E" w:rsidR="00C17306" w:rsidRPr="00C17306" w:rsidRDefault="00C17306" w:rsidP="00C17306">
      <w:r w:rsidRPr="00C17306">
        <w:t xml:space="preserve">Visit the consultation page </w:t>
      </w:r>
      <w:r w:rsidR="00AD0D9C">
        <w:t>(</w:t>
      </w:r>
      <w:hyperlink r:id="rId5" w:history="1">
        <w:r w:rsidR="00AD0D9C" w:rsidRPr="0003657C">
          <w:rPr>
            <w:rStyle w:val="Hyperlink"/>
          </w:rPr>
          <w:t>https://engagement.sevenoaks.gov.uk/strategic-planning/emerginglocalplan/</w:t>
        </w:r>
      </w:hyperlink>
      <w:r w:rsidR="00AD0D9C">
        <w:t xml:space="preserve">) </w:t>
      </w:r>
      <w:r w:rsidRPr="00C17306">
        <w:t xml:space="preserve">→ scroll to the bottom → select </w:t>
      </w:r>
      <w:r w:rsidRPr="00C17306">
        <w:rPr>
          <w:b/>
          <w:bCs/>
        </w:rPr>
        <w:t>Comment on Sites</w:t>
      </w:r>
      <w:r w:rsidRPr="00C17306">
        <w:t>.</w:t>
      </w:r>
    </w:p>
    <w:p w14:paraId="4C39A404" w14:textId="77777777" w:rsidR="00C17306" w:rsidRPr="00C17306" w:rsidRDefault="00C17306" w:rsidP="00C17306">
      <w:pPr>
        <w:rPr>
          <w:b/>
          <w:bCs/>
        </w:rPr>
      </w:pPr>
      <w:r w:rsidRPr="00C17306">
        <w:rPr>
          <w:b/>
          <w:bCs/>
        </w:rPr>
        <w:t>STEP 2 – Submit your details</w:t>
      </w:r>
    </w:p>
    <w:p w14:paraId="5A55FD40" w14:textId="77777777" w:rsidR="00C17306" w:rsidRPr="00C17306" w:rsidRDefault="00C17306" w:rsidP="00C17306">
      <w:r w:rsidRPr="00C17306">
        <w:t>Fill in personal information and consent to publication.</w:t>
      </w:r>
    </w:p>
    <w:p w14:paraId="2FE16B40" w14:textId="77777777" w:rsidR="00C17306" w:rsidRPr="00C17306" w:rsidRDefault="00C17306" w:rsidP="00C17306">
      <w:pPr>
        <w:rPr>
          <w:b/>
          <w:bCs/>
        </w:rPr>
      </w:pPr>
      <w:r w:rsidRPr="00C17306">
        <w:rPr>
          <w:b/>
          <w:bCs/>
        </w:rPr>
        <w:t>STEP 3 – KEY STRATEGY QUESTION – Policy ST1</w:t>
      </w:r>
    </w:p>
    <w:p w14:paraId="75DC3869" w14:textId="2DBDF58B" w:rsidR="00C17306" w:rsidRPr="00C17306" w:rsidRDefault="00C17306" w:rsidP="00C17306">
      <w:r w:rsidRPr="00C17306">
        <w:lastRenderedPageBreak/>
        <w:t>Recommended selection:</w:t>
      </w:r>
      <w:r w:rsidRPr="00C17306">
        <w:br/>
      </w:r>
      <w:r w:rsidRPr="00C17306">
        <w:rPr>
          <w:rFonts w:ascii="Segoe UI Symbol" w:hAnsi="Segoe UI Symbol" w:cs="Segoe UI Symbol"/>
          <w:b/>
          <w:bCs/>
        </w:rPr>
        <w:t>☐</w:t>
      </w:r>
      <w:r w:rsidRPr="00C17306">
        <w:rPr>
          <w:b/>
          <w:bCs/>
        </w:rPr>
        <w:t xml:space="preserve"> None of the Above</w:t>
      </w:r>
      <w:r w:rsidRPr="00C17306">
        <w:br/>
        <w:t>Example opening explanation:</w:t>
      </w:r>
    </w:p>
    <w:p w14:paraId="1C6CFCE6" w14:textId="77777777" w:rsidR="00C17306" w:rsidRPr="00C17306" w:rsidRDefault="00C17306" w:rsidP="00C17306">
      <w:r w:rsidRPr="00C17306">
        <w:t xml:space="preserve">“I cannot support a strategy that includes allocations PED1 and SWAN17. These sites should not be included at Regulation </w:t>
      </w:r>
      <w:proofErr w:type="gramStart"/>
      <w:r w:rsidRPr="00C17306">
        <w:t>18</w:t>
      </w:r>
      <w:proofErr w:type="gramEnd"/>
      <w:r w:rsidRPr="00C17306">
        <w:t xml:space="preserve"> and I cannot support allocations where evidence has not been transparently presented or tested.” </w:t>
      </w:r>
    </w:p>
    <w:p w14:paraId="46D483B7" w14:textId="77777777" w:rsidR="00C17306" w:rsidRPr="00C17306" w:rsidRDefault="00C17306" w:rsidP="00C17306">
      <w:r w:rsidRPr="00C17306">
        <w:pict w14:anchorId="631562D8">
          <v:rect id="_x0000_i1101" style="width:0;height:1.5pt" o:hralign="center" o:hrstd="t" o:hr="t" fillcolor="#a0a0a0" stroked="f"/>
        </w:pict>
      </w:r>
    </w:p>
    <w:p w14:paraId="61CDEDA7" w14:textId="77777777" w:rsidR="00C17306" w:rsidRPr="00C17306" w:rsidRDefault="00C17306" w:rsidP="00C17306">
      <w:pPr>
        <w:rPr>
          <w:b/>
          <w:bCs/>
        </w:rPr>
      </w:pPr>
      <w:r w:rsidRPr="00C17306">
        <w:rPr>
          <w:b/>
          <w:bCs/>
        </w:rPr>
        <w:t>STEP 4 – Navigating to PED1</w:t>
      </w:r>
    </w:p>
    <w:p w14:paraId="34230845" w14:textId="77777777" w:rsidR="00C17306" w:rsidRPr="00C17306" w:rsidRDefault="00C17306" w:rsidP="00C17306">
      <w:r w:rsidRPr="00C17306">
        <w:t xml:space="preserve">• Select </w:t>
      </w:r>
      <w:r w:rsidRPr="00C17306">
        <w:rPr>
          <w:b/>
          <w:bCs/>
        </w:rPr>
        <w:t>Suitable Sites</w:t>
      </w:r>
      <w:r w:rsidRPr="00C17306">
        <w:t xml:space="preserve"> → continue → choose </w:t>
      </w:r>
      <w:r w:rsidRPr="00C17306">
        <w:rPr>
          <w:b/>
          <w:bCs/>
        </w:rPr>
        <w:t xml:space="preserve">Potential New Settlement at </w:t>
      </w:r>
      <w:proofErr w:type="spellStart"/>
      <w:r w:rsidRPr="00C17306">
        <w:rPr>
          <w:b/>
          <w:bCs/>
        </w:rPr>
        <w:t>Pedham</w:t>
      </w:r>
      <w:proofErr w:type="spellEnd"/>
      <w:r w:rsidRPr="00C17306">
        <w:rPr>
          <w:b/>
          <w:bCs/>
        </w:rPr>
        <w:t xml:space="preserve"> Place</w:t>
      </w:r>
      <w:r w:rsidRPr="00C17306">
        <w:t>.</w:t>
      </w:r>
      <w:r w:rsidRPr="00C17306">
        <w:br/>
        <w:t xml:space="preserve">• For “Do you agree with the proposed allocation?” → </w:t>
      </w:r>
      <w:r w:rsidRPr="00C17306">
        <w:rPr>
          <w:b/>
          <w:bCs/>
        </w:rPr>
        <w:t>Strongly Disagree</w:t>
      </w:r>
      <w:r w:rsidRPr="00C17306">
        <w:t>.</w:t>
      </w:r>
    </w:p>
    <w:p w14:paraId="3F01086C" w14:textId="77777777" w:rsidR="00C17306" w:rsidRPr="00C17306" w:rsidRDefault="00C17306" w:rsidP="00C17306">
      <w:r w:rsidRPr="00C17306">
        <w:t>Then write comments. You may include:</w:t>
      </w:r>
    </w:p>
    <w:p w14:paraId="25ACEA68" w14:textId="5CA7C959" w:rsidR="00C17306" w:rsidRPr="00C17306" w:rsidRDefault="00C17306" w:rsidP="00C17306">
      <w:pPr>
        <w:rPr>
          <w:b/>
          <w:bCs/>
        </w:rPr>
      </w:pPr>
      <w:r w:rsidRPr="00C17306">
        <w:rPr>
          <w:b/>
          <w:bCs/>
        </w:rPr>
        <w:t xml:space="preserve">Core Objection Points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4"/>
        <w:gridCol w:w="6742"/>
      </w:tblGrid>
      <w:tr w:rsidR="00C17306" w:rsidRPr="00C17306" w14:paraId="2005E6ED" w14:textId="77777777">
        <w:trPr>
          <w:tblHeader/>
          <w:tblCellSpacing w:w="15" w:type="dxa"/>
        </w:trPr>
        <w:tc>
          <w:tcPr>
            <w:tcW w:w="0" w:type="auto"/>
            <w:vAlign w:val="center"/>
            <w:hideMark/>
          </w:tcPr>
          <w:p w14:paraId="75A96315" w14:textId="77777777" w:rsidR="00C17306" w:rsidRPr="00C17306" w:rsidRDefault="00C17306" w:rsidP="00C17306">
            <w:pPr>
              <w:rPr>
                <w:b/>
                <w:bCs/>
              </w:rPr>
            </w:pPr>
            <w:r w:rsidRPr="00C17306">
              <w:rPr>
                <w:b/>
                <w:bCs/>
              </w:rPr>
              <w:t>Issue</w:t>
            </w:r>
          </w:p>
        </w:tc>
        <w:tc>
          <w:tcPr>
            <w:tcW w:w="0" w:type="auto"/>
            <w:vAlign w:val="center"/>
            <w:hideMark/>
          </w:tcPr>
          <w:p w14:paraId="7E4B0B85" w14:textId="77777777" w:rsidR="00C17306" w:rsidRPr="00C17306" w:rsidRDefault="00C17306" w:rsidP="00C17306">
            <w:pPr>
              <w:rPr>
                <w:b/>
                <w:bCs/>
              </w:rPr>
            </w:pPr>
            <w:r w:rsidRPr="00C17306">
              <w:rPr>
                <w:b/>
                <w:bCs/>
              </w:rPr>
              <w:t>Summary Wording</w:t>
            </w:r>
          </w:p>
        </w:tc>
      </w:tr>
      <w:tr w:rsidR="00C17306" w:rsidRPr="00C17306" w14:paraId="64849F3E" w14:textId="77777777">
        <w:trPr>
          <w:tblCellSpacing w:w="15" w:type="dxa"/>
        </w:trPr>
        <w:tc>
          <w:tcPr>
            <w:tcW w:w="0" w:type="auto"/>
            <w:vAlign w:val="center"/>
            <w:hideMark/>
          </w:tcPr>
          <w:p w14:paraId="1D78E472" w14:textId="77777777" w:rsidR="00C17306" w:rsidRPr="00C17306" w:rsidRDefault="00C17306" w:rsidP="00C17306">
            <w:r w:rsidRPr="00C17306">
              <w:rPr>
                <w:i/>
                <w:iCs/>
              </w:rPr>
              <w:t>No exceptional circumstances</w:t>
            </w:r>
          </w:p>
        </w:tc>
        <w:tc>
          <w:tcPr>
            <w:tcW w:w="0" w:type="auto"/>
            <w:vAlign w:val="center"/>
            <w:hideMark/>
          </w:tcPr>
          <w:p w14:paraId="41E0B4CB" w14:textId="77777777" w:rsidR="00C17306" w:rsidRPr="00C17306" w:rsidRDefault="00C17306" w:rsidP="00C17306">
            <w:r w:rsidRPr="00C17306">
              <w:t>No evidence has been presented to justify releasing this National Landscape site under NPPF.</w:t>
            </w:r>
          </w:p>
        </w:tc>
      </w:tr>
      <w:tr w:rsidR="00C17306" w:rsidRPr="00C17306" w14:paraId="78C07F8B" w14:textId="77777777">
        <w:trPr>
          <w:tblCellSpacing w:w="15" w:type="dxa"/>
        </w:trPr>
        <w:tc>
          <w:tcPr>
            <w:tcW w:w="0" w:type="auto"/>
            <w:vAlign w:val="center"/>
            <w:hideMark/>
          </w:tcPr>
          <w:p w14:paraId="4EDE0303" w14:textId="77777777" w:rsidR="00C17306" w:rsidRPr="00C17306" w:rsidRDefault="00C17306" w:rsidP="00C17306">
            <w:r w:rsidRPr="00C17306">
              <w:rPr>
                <w:i/>
                <w:iCs/>
              </w:rPr>
              <w:t>New settlement not viable</w:t>
            </w:r>
          </w:p>
        </w:tc>
        <w:tc>
          <w:tcPr>
            <w:tcW w:w="0" w:type="auto"/>
            <w:vAlign w:val="center"/>
            <w:hideMark/>
          </w:tcPr>
          <w:p w14:paraId="36265CBD" w14:textId="77777777" w:rsidR="00C17306" w:rsidRPr="00C17306" w:rsidRDefault="00C17306" w:rsidP="00C17306">
            <w:r w:rsidRPr="00C17306">
              <w:t>Scale is insufficient for a standalone settlement (7,000 vs. 10,000+ typical).</w:t>
            </w:r>
          </w:p>
        </w:tc>
      </w:tr>
      <w:tr w:rsidR="00C17306" w:rsidRPr="00C17306" w14:paraId="1052C274" w14:textId="77777777">
        <w:trPr>
          <w:tblCellSpacing w:w="15" w:type="dxa"/>
        </w:trPr>
        <w:tc>
          <w:tcPr>
            <w:tcW w:w="0" w:type="auto"/>
            <w:vAlign w:val="center"/>
            <w:hideMark/>
          </w:tcPr>
          <w:p w14:paraId="0BEA033E" w14:textId="77777777" w:rsidR="00C17306" w:rsidRPr="00C17306" w:rsidRDefault="00C17306" w:rsidP="00C17306">
            <w:r w:rsidRPr="00C17306">
              <w:rPr>
                <w:i/>
                <w:iCs/>
              </w:rPr>
              <w:t>Green Belt &amp; landscape harm</w:t>
            </w:r>
          </w:p>
        </w:tc>
        <w:tc>
          <w:tcPr>
            <w:tcW w:w="0" w:type="auto"/>
            <w:vAlign w:val="center"/>
            <w:hideMark/>
          </w:tcPr>
          <w:p w14:paraId="2B8B0BDC" w14:textId="77777777" w:rsidR="00C17306" w:rsidRPr="00C17306" w:rsidRDefault="00C17306" w:rsidP="00C17306">
            <w:r w:rsidRPr="00C17306">
              <w:t>Severe, irreversible impact — not justified by need or public interest.</w:t>
            </w:r>
          </w:p>
        </w:tc>
      </w:tr>
      <w:tr w:rsidR="00C17306" w:rsidRPr="00C17306" w14:paraId="19ACD0AF" w14:textId="77777777">
        <w:trPr>
          <w:tblCellSpacing w:w="15" w:type="dxa"/>
        </w:trPr>
        <w:tc>
          <w:tcPr>
            <w:tcW w:w="0" w:type="auto"/>
            <w:vAlign w:val="center"/>
            <w:hideMark/>
          </w:tcPr>
          <w:p w14:paraId="51FA9336" w14:textId="77777777" w:rsidR="00C17306" w:rsidRPr="00C17306" w:rsidRDefault="00C17306" w:rsidP="00C17306">
            <w:r w:rsidRPr="00C17306">
              <w:rPr>
                <w:i/>
                <w:iCs/>
              </w:rPr>
              <w:t>Transport &amp; sustainability</w:t>
            </w:r>
          </w:p>
        </w:tc>
        <w:tc>
          <w:tcPr>
            <w:tcW w:w="0" w:type="auto"/>
            <w:vAlign w:val="center"/>
            <w:hideMark/>
          </w:tcPr>
          <w:p w14:paraId="14EE6BDE" w14:textId="77777777" w:rsidR="00C17306" w:rsidRPr="00C17306" w:rsidRDefault="00C17306" w:rsidP="00C17306">
            <w:r w:rsidRPr="00C17306">
              <w:t>Requires car-dependency, weak public transport access, untested M25 J3 impact.</w:t>
            </w:r>
          </w:p>
        </w:tc>
      </w:tr>
      <w:tr w:rsidR="00C17306" w:rsidRPr="00C17306" w14:paraId="125B7DCA" w14:textId="77777777">
        <w:trPr>
          <w:tblCellSpacing w:w="15" w:type="dxa"/>
        </w:trPr>
        <w:tc>
          <w:tcPr>
            <w:tcW w:w="0" w:type="auto"/>
            <w:vAlign w:val="center"/>
            <w:hideMark/>
          </w:tcPr>
          <w:p w14:paraId="15CE836C" w14:textId="77777777" w:rsidR="00C17306" w:rsidRPr="00C17306" w:rsidRDefault="00C17306" w:rsidP="00C17306">
            <w:r w:rsidRPr="00C17306">
              <w:rPr>
                <w:i/>
                <w:iCs/>
              </w:rPr>
              <w:t>Economic conflict</w:t>
            </w:r>
          </w:p>
        </w:tc>
        <w:tc>
          <w:tcPr>
            <w:tcW w:w="0" w:type="auto"/>
            <w:vAlign w:val="center"/>
            <w:hideMark/>
          </w:tcPr>
          <w:p w14:paraId="2E948267" w14:textId="77777777" w:rsidR="00C17306" w:rsidRPr="00C17306" w:rsidRDefault="00C17306" w:rsidP="00C17306">
            <w:r w:rsidRPr="00C17306">
              <w:t>Proposals do not support identified employment needs; tourism/stadium not strategic.</w:t>
            </w:r>
          </w:p>
        </w:tc>
      </w:tr>
    </w:tbl>
    <w:p w14:paraId="5AF57616" w14:textId="77777777" w:rsidR="00C17306" w:rsidRPr="00C17306" w:rsidRDefault="00C17306" w:rsidP="00C17306">
      <w:r w:rsidRPr="00C17306">
        <w:t>End with a clear and direct ask:</w:t>
      </w:r>
    </w:p>
    <w:p w14:paraId="15C023AE" w14:textId="77777777" w:rsidR="00C17306" w:rsidRPr="00C17306" w:rsidRDefault="00C17306" w:rsidP="00C17306">
      <w:r w:rsidRPr="00C17306">
        <w:rPr>
          <w:b/>
          <w:bCs/>
        </w:rPr>
        <w:t>I request that PED1 is removed from the Regulation 18 allocation list.</w:t>
      </w:r>
      <w:r w:rsidRPr="00C17306">
        <w:t xml:space="preserve"> </w:t>
      </w:r>
    </w:p>
    <w:p w14:paraId="443C9BA5" w14:textId="77777777" w:rsidR="00C17306" w:rsidRPr="00C17306" w:rsidRDefault="00C17306" w:rsidP="00C17306">
      <w:r w:rsidRPr="00C17306">
        <w:pict w14:anchorId="467DDD3F">
          <v:rect id="_x0000_i1102" style="width:0;height:1.5pt" o:hralign="center" o:hrstd="t" o:hr="t" fillcolor="#a0a0a0" stroked="f"/>
        </w:pict>
      </w:r>
    </w:p>
    <w:p w14:paraId="642BDCEF" w14:textId="77777777" w:rsidR="00C17306" w:rsidRPr="00C17306" w:rsidRDefault="00C17306" w:rsidP="00C17306">
      <w:pPr>
        <w:rPr>
          <w:b/>
          <w:bCs/>
        </w:rPr>
      </w:pPr>
      <w:r w:rsidRPr="00C17306">
        <w:rPr>
          <w:b/>
          <w:bCs/>
        </w:rPr>
        <w:t>STEP 5 – Navigating to SWAN17 (WASPS Stadium Site)</w:t>
      </w:r>
    </w:p>
    <w:p w14:paraId="01C7AE6B" w14:textId="77777777" w:rsidR="00C17306" w:rsidRPr="00C17306" w:rsidRDefault="00C17306" w:rsidP="00C17306">
      <w:r w:rsidRPr="00C17306">
        <w:t xml:space="preserve">• Select </w:t>
      </w:r>
      <w:r w:rsidRPr="00C17306">
        <w:rPr>
          <w:b/>
          <w:bCs/>
        </w:rPr>
        <w:t>Yes — comment on another site</w:t>
      </w:r>
      <w:r w:rsidRPr="00C17306">
        <w:br/>
        <w:t xml:space="preserve">• Choose </w:t>
      </w:r>
      <w:r w:rsidRPr="00C17306">
        <w:rPr>
          <w:b/>
          <w:bCs/>
        </w:rPr>
        <w:t>Swanley</w:t>
      </w:r>
      <w:r w:rsidRPr="00C17306">
        <w:t xml:space="preserve"> → </w:t>
      </w:r>
      <w:r w:rsidRPr="00C17306">
        <w:rPr>
          <w:b/>
          <w:bCs/>
        </w:rPr>
        <w:t>SWAN17</w:t>
      </w:r>
      <w:r w:rsidRPr="00C17306">
        <w:br/>
        <w:t xml:space="preserve">• Select </w:t>
      </w:r>
      <w:r w:rsidRPr="00C17306">
        <w:rPr>
          <w:b/>
          <w:bCs/>
        </w:rPr>
        <w:t>Strongly Disagree</w:t>
      </w:r>
      <w:r w:rsidRPr="00C17306">
        <w:t xml:space="preserve"> and insert comment.</w:t>
      </w:r>
    </w:p>
    <w:p w14:paraId="647B006E" w14:textId="77777777" w:rsidR="00C17306" w:rsidRPr="00C17306" w:rsidRDefault="00C17306" w:rsidP="00C17306">
      <w:r w:rsidRPr="00C17306">
        <w:t>Use one or more arguments:</w:t>
      </w:r>
    </w:p>
    <w:p w14:paraId="5DCC79B1" w14:textId="77777777" w:rsidR="00C17306" w:rsidRPr="00C17306" w:rsidRDefault="00C17306" w:rsidP="00C17306">
      <w:pPr>
        <w:numPr>
          <w:ilvl w:val="0"/>
          <w:numId w:val="1"/>
        </w:numPr>
      </w:pPr>
      <w:r w:rsidRPr="00C17306">
        <w:lastRenderedPageBreak/>
        <w:t>No evidence of need or viability for a 28,000-seat venue</w:t>
      </w:r>
    </w:p>
    <w:p w14:paraId="08656434" w14:textId="77777777" w:rsidR="00C17306" w:rsidRPr="00C17306" w:rsidRDefault="00C17306" w:rsidP="00C17306">
      <w:pPr>
        <w:numPr>
          <w:ilvl w:val="0"/>
          <w:numId w:val="1"/>
        </w:numPr>
      </w:pPr>
      <w:r w:rsidRPr="00C17306">
        <w:t>No full transport modelling (M25 J3 cannot be assumed deliverable)</w:t>
      </w:r>
    </w:p>
    <w:p w14:paraId="34C1DDC2" w14:textId="77777777" w:rsidR="00C17306" w:rsidRPr="00C17306" w:rsidRDefault="00C17306" w:rsidP="00C17306">
      <w:pPr>
        <w:numPr>
          <w:ilvl w:val="0"/>
          <w:numId w:val="1"/>
        </w:numPr>
      </w:pPr>
      <w:r w:rsidRPr="00C17306">
        <w:t>Major National Landscape harm, irreversible light &amp; noise pollution</w:t>
      </w:r>
    </w:p>
    <w:p w14:paraId="0C651E2B" w14:textId="77777777" w:rsidR="00C17306" w:rsidRPr="00C17306" w:rsidRDefault="00C17306" w:rsidP="00C17306">
      <w:pPr>
        <w:numPr>
          <w:ilvl w:val="0"/>
          <w:numId w:val="1"/>
        </w:numPr>
      </w:pPr>
      <w:r w:rsidRPr="00C17306">
        <w:t>Inconsistent with Green Belt, biodiversity, sustainable travel requirements</w:t>
      </w:r>
    </w:p>
    <w:p w14:paraId="1E42FE10" w14:textId="77777777" w:rsidR="00C17306" w:rsidRPr="00C17306" w:rsidRDefault="00C17306" w:rsidP="00C17306">
      <w:pPr>
        <w:numPr>
          <w:ilvl w:val="0"/>
          <w:numId w:val="1"/>
        </w:numPr>
      </w:pPr>
      <w:r w:rsidRPr="00C17306">
        <w:t>Brownfield-first has not been demonstrated</w:t>
      </w:r>
    </w:p>
    <w:p w14:paraId="0B196643" w14:textId="77777777" w:rsidR="00C17306" w:rsidRDefault="00C17306" w:rsidP="00C17306">
      <w:r w:rsidRPr="00C17306">
        <w:t>End with:</w:t>
      </w:r>
    </w:p>
    <w:p w14:paraId="5FB78879" w14:textId="4A0BD3A2" w:rsidR="00FB6E0D" w:rsidRDefault="00FB6E0D" w:rsidP="00C17306">
      <w:r>
        <w:t>Comment on EMP2 here.</w:t>
      </w: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47"/>
        <w:gridCol w:w="2573"/>
        <w:gridCol w:w="4660"/>
      </w:tblGrid>
      <w:tr w:rsidR="00FB6E0D" w14:paraId="7452A5B5" w14:textId="77777777" w:rsidTr="005C197C">
        <w:trPr>
          <w:cantSplit/>
        </w:trPr>
        <w:tc>
          <w:tcPr>
            <w:tcW w:w="1645" w:type="dxa"/>
          </w:tcPr>
          <w:p w14:paraId="3FA203AD" w14:textId="77777777" w:rsidR="00FB6E0D" w:rsidRDefault="00FB6E0D" w:rsidP="005C197C">
            <w:r>
              <w:t>EMP2</w:t>
            </w:r>
          </w:p>
        </w:tc>
        <w:tc>
          <w:tcPr>
            <w:tcW w:w="2175" w:type="dxa"/>
          </w:tcPr>
          <w:p w14:paraId="4573CEDA" w14:textId="77777777" w:rsidR="00FB6E0D" w:rsidRDefault="00FB6E0D" w:rsidP="005C197C">
            <w:r>
              <w:t>Disagree/Tighten</w:t>
            </w:r>
          </w:p>
        </w:tc>
        <w:tc>
          <w:tcPr>
            <w:tcW w:w="3939" w:type="dxa"/>
          </w:tcPr>
          <w:p w14:paraId="06D35438" w14:textId="77777777" w:rsidR="00FB6E0D" w:rsidRDefault="00FB6E0D" w:rsidP="005C197C">
            <w:r>
              <w:t>Must explicitly exclude stadium/large non</w:t>
            </w:r>
            <w:r>
              <w:rPr>
                <w:rFonts w:ascii="Cambria Math" w:hAnsi="Cambria Math" w:cs="Cambria Math"/>
              </w:rPr>
              <w:t>‑</w:t>
            </w:r>
            <w:r>
              <w:t>employment uses.</w:t>
            </w:r>
          </w:p>
        </w:tc>
      </w:tr>
    </w:tbl>
    <w:p w14:paraId="356004B9" w14:textId="77777777" w:rsidR="00FB6E0D" w:rsidRPr="00C17306" w:rsidRDefault="00FB6E0D" w:rsidP="00C17306"/>
    <w:p w14:paraId="6874BF86" w14:textId="77777777" w:rsidR="00C17306" w:rsidRPr="00C17306" w:rsidRDefault="00C17306" w:rsidP="00C17306">
      <w:r w:rsidRPr="00C17306">
        <w:rPr>
          <w:b/>
          <w:bCs/>
        </w:rPr>
        <w:t>This site should be removed or marked as ‘not currently deliverable’ until full evidence and exceptional justification is published.</w:t>
      </w:r>
      <w:r w:rsidRPr="00C17306">
        <w:t xml:space="preserve"> </w:t>
      </w:r>
    </w:p>
    <w:p w14:paraId="14D50AE8" w14:textId="77777777" w:rsidR="00C17306" w:rsidRPr="00C17306" w:rsidRDefault="00C17306" w:rsidP="00C17306">
      <w:r w:rsidRPr="00C17306">
        <w:pict w14:anchorId="659D9F7D">
          <v:rect id="_x0000_i1103" style="width:0;height:1.5pt" o:hralign="center" o:hrstd="t" o:hr="t" fillcolor="#a0a0a0" stroked="f"/>
        </w:pict>
      </w:r>
    </w:p>
    <w:p w14:paraId="4C101D6E" w14:textId="77777777" w:rsidR="00C17306" w:rsidRPr="00C17306" w:rsidRDefault="00C17306" w:rsidP="00C17306">
      <w:r w:rsidRPr="00C17306">
        <w:pict w14:anchorId="6AFC63F0">
          <v:rect id="_x0000_i1104" style="width:0;height:1.5pt" o:hralign="center" o:hrstd="t" o:hr="t" fillcolor="#a0a0a0" stroked="f"/>
        </w:pict>
      </w:r>
    </w:p>
    <w:p w14:paraId="2145D2D0" w14:textId="77777777" w:rsidR="00C17306" w:rsidRPr="00C17306" w:rsidRDefault="00C17306" w:rsidP="00C17306">
      <w:pPr>
        <w:rPr>
          <w:b/>
          <w:bCs/>
        </w:rPr>
      </w:pPr>
      <w:r w:rsidRPr="00C17306">
        <w:rPr>
          <w:b/>
          <w:bCs/>
          <w:highlight w:val="green"/>
        </w:rPr>
        <w:t>SURVEY #2 – POLICIES &amp; EVIDENCE BASE</w:t>
      </w:r>
    </w:p>
    <w:p w14:paraId="0EB544D7" w14:textId="193F93FD" w:rsidR="00C17306" w:rsidRPr="00C17306" w:rsidRDefault="00C17306" w:rsidP="00C17306">
      <w:pPr>
        <w:rPr>
          <w:b/>
          <w:bCs/>
        </w:rPr>
      </w:pPr>
      <w:r w:rsidRPr="00C17306">
        <w:rPr>
          <w:b/>
          <w:bCs/>
        </w:rPr>
        <w:t>STEP 1 – Open Policy Response Portal</w:t>
      </w:r>
      <w:r w:rsidR="00D550D3">
        <w:rPr>
          <w:b/>
          <w:bCs/>
        </w:rPr>
        <w:t xml:space="preserve"> (</w:t>
      </w:r>
      <w:hyperlink r:id="rId6" w:history="1">
        <w:r w:rsidR="00D550D3" w:rsidRPr="0003657C">
          <w:rPr>
            <w:rStyle w:val="Hyperlink"/>
            <w:b/>
            <w:bCs/>
          </w:rPr>
          <w:t>https://www.sevenoaks.gov.uk/downloads/file/4400/local_plan_regulation_18_consultation_version</w:t>
        </w:r>
      </w:hyperlink>
      <w:r w:rsidR="00D550D3">
        <w:rPr>
          <w:b/>
          <w:bCs/>
        </w:rPr>
        <w:t xml:space="preserve">) </w:t>
      </w:r>
    </w:p>
    <w:p w14:paraId="5B1EA653" w14:textId="77777777" w:rsidR="00C17306" w:rsidRPr="00C17306" w:rsidRDefault="00C17306" w:rsidP="00C17306">
      <w:r w:rsidRPr="00C17306">
        <w:t xml:space="preserve">Scroll to the bottom → </w:t>
      </w:r>
      <w:r w:rsidRPr="00C17306">
        <w:rPr>
          <w:b/>
          <w:bCs/>
        </w:rPr>
        <w:t>Comment on Policies and Evidence Base</w:t>
      </w:r>
      <w:r w:rsidRPr="00C17306">
        <w:t>.</w:t>
      </w:r>
    </w:p>
    <w:p w14:paraId="41DF9D29" w14:textId="77777777" w:rsidR="00C17306" w:rsidRPr="00C17306" w:rsidRDefault="00C17306" w:rsidP="00C17306">
      <w:pPr>
        <w:rPr>
          <w:b/>
          <w:bCs/>
        </w:rPr>
      </w:pPr>
      <w:r w:rsidRPr="00C17306">
        <w:rPr>
          <w:b/>
          <w:bCs/>
        </w:rPr>
        <w:t>STEP 2 – About You → fill in details</w:t>
      </w:r>
    </w:p>
    <w:p w14:paraId="3A9D1406" w14:textId="77777777" w:rsidR="00C17306" w:rsidRPr="00C17306" w:rsidRDefault="00C17306" w:rsidP="00C17306">
      <w:r w:rsidRPr="00C17306">
        <w:pict w14:anchorId="6F92CCBF">
          <v:rect id="_x0000_i1105" style="width:0;height:1.5pt" o:hralign="center" o:hrstd="t" o:hr="t" fillcolor="#a0a0a0" stroked="f"/>
        </w:pict>
      </w:r>
    </w:p>
    <w:p w14:paraId="3715F3C3" w14:textId="77777777" w:rsidR="00C17306" w:rsidRPr="00C17306" w:rsidRDefault="00C17306" w:rsidP="00C17306">
      <w:pPr>
        <w:rPr>
          <w:b/>
          <w:bCs/>
        </w:rPr>
      </w:pPr>
      <w:r w:rsidRPr="00C17306">
        <w:rPr>
          <w:b/>
          <w:bCs/>
        </w:rPr>
        <w:t>STEP 3 – Policy Chapters</w:t>
      </w:r>
    </w:p>
    <w:p w14:paraId="6035418D" w14:textId="77777777" w:rsidR="00C17306" w:rsidRDefault="00C17306" w:rsidP="00C17306">
      <w:r w:rsidRPr="00C17306">
        <w:t xml:space="preserve">Below is the same information from the original guide but reorganised into a </w:t>
      </w:r>
      <w:r w:rsidRPr="00C17306">
        <w:rPr>
          <w:b/>
          <w:bCs/>
        </w:rPr>
        <w:t>clear vote → reason → instruction</w:t>
      </w:r>
      <w:r w:rsidRPr="00C17306">
        <w:t xml:space="preserve"> sequence.</w:t>
      </w: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21"/>
        <w:gridCol w:w="1645"/>
        <w:gridCol w:w="2175"/>
        <w:gridCol w:w="3939"/>
      </w:tblGrid>
      <w:tr w:rsidR="003041DF" w:rsidRPr="00D227A4" w14:paraId="3656E4DC" w14:textId="77777777" w:rsidTr="003041DF">
        <w:trPr>
          <w:cantSplit/>
          <w:tblHeader/>
        </w:trPr>
        <w:tc>
          <w:tcPr>
            <w:tcW w:w="1421" w:type="dxa"/>
          </w:tcPr>
          <w:p w14:paraId="0311B58A" w14:textId="77777777" w:rsidR="00D227A4" w:rsidRPr="00D227A4" w:rsidRDefault="00D227A4" w:rsidP="005C197C">
            <w:pPr>
              <w:rPr>
                <w:b/>
                <w:bCs/>
              </w:rPr>
            </w:pPr>
            <w:r w:rsidRPr="00D227A4">
              <w:rPr>
                <w:b/>
                <w:bCs/>
              </w:rPr>
              <w:t>Chapter</w:t>
            </w:r>
          </w:p>
        </w:tc>
        <w:tc>
          <w:tcPr>
            <w:tcW w:w="1645" w:type="dxa"/>
          </w:tcPr>
          <w:p w14:paraId="596E289B" w14:textId="77777777" w:rsidR="00D227A4" w:rsidRPr="00D227A4" w:rsidRDefault="00D227A4" w:rsidP="005C197C">
            <w:pPr>
              <w:rPr>
                <w:b/>
                <w:bCs/>
              </w:rPr>
            </w:pPr>
            <w:r w:rsidRPr="00D227A4">
              <w:rPr>
                <w:b/>
                <w:bCs/>
              </w:rPr>
              <w:t>Policy</w:t>
            </w:r>
          </w:p>
        </w:tc>
        <w:tc>
          <w:tcPr>
            <w:tcW w:w="2175" w:type="dxa"/>
          </w:tcPr>
          <w:p w14:paraId="721898FE" w14:textId="77777777" w:rsidR="00D227A4" w:rsidRPr="00D227A4" w:rsidRDefault="00D227A4" w:rsidP="005C197C">
            <w:pPr>
              <w:rPr>
                <w:b/>
                <w:bCs/>
              </w:rPr>
            </w:pPr>
            <w:r w:rsidRPr="00D227A4">
              <w:rPr>
                <w:b/>
                <w:bCs/>
              </w:rPr>
              <w:t>Vote</w:t>
            </w:r>
          </w:p>
        </w:tc>
        <w:tc>
          <w:tcPr>
            <w:tcW w:w="3939" w:type="dxa"/>
          </w:tcPr>
          <w:p w14:paraId="34B246E7" w14:textId="77777777" w:rsidR="00D227A4" w:rsidRPr="00D227A4" w:rsidRDefault="00D227A4" w:rsidP="005C197C">
            <w:pPr>
              <w:rPr>
                <w:b/>
                <w:bCs/>
              </w:rPr>
            </w:pPr>
            <w:r w:rsidRPr="00D227A4">
              <w:rPr>
                <w:b/>
                <w:bCs/>
              </w:rPr>
              <w:t>Reason</w:t>
            </w:r>
          </w:p>
        </w:tc>
      </w:tr>
      <w:tr w:rsidR="00D227A4" w14:paraId="0399FEBC" w14:textId="77777777" w:rsidTr="003041DF">
        <w:trPr>
          <w:cantSplit/>
        </w:trPr>
        <w:tc>
          <w:tcPr>
            <w:tcW w:w="1421" w:type="dxa"/>
          </w:tcPr>
          <w:p w14:paraId="3E9696B3" w14:textId="40AF5917" w:rsidR="00D227A4" w:rsidRDefault="00D227A4" w:rsidP="005C197C">
            <w:r>
              <w:t>Ch1</w:t>
            </w:r>
            <w:r w:rsidR="004150A1">
              <w:t xml:space="preserve"> – Development Strategy</w:t>
            </w:r>
          </w:p>
        </w:tc>
        <w:tc>
          <w:tcPr>
            <w:tcW w:w="1645" w:type="dxa"/>
          </w:tcPr>
          <w:p w14:paraId="32203582" w14:textId="77777777" w:rsidR="00D227A4" w:rsidRDefault="00D227A4" w:rsidP="005C197C">
            <w:r>
              <w:t>ST1/ST2</w:t>
            </w:r>
          </w:p>
        </w:tc>
        <w:tc>
          <w:tcPr>
            <w:tcW w:w="2175" w:type="dxa"/>
          </w:tcPr>
          <w:p w14:paraId="18B185F5" w14:textId="77777777" w:rsidR="00D227A4" w:rsidRDefault="00D227A4" w:rsidP="005C197C">
            <w:r>
              <w:t>None of the above</w:t>
            </w:r>
          </w:p>
        </w:tc>
        <w:tc>
          <w:tcPr>
            <w:tcW w:w="3939" w:type="dxa"/>
          </w:tcPr>
          <w:p w14:paraId="6D6CD7A6" w14:textId="38D4F159" w:rsidR="00D227A4" w:rsidRDefault="00D227A4" w:rsidP="005C197C">
            <w:r w:rsidRPr="00C17306">
              <w:t xml:space="preserve">Options </w:t>
            </w:r>
            <w:r>
              <w:t xml:space="preserve">1 &amp; 2 </w:t>
            </w:r>
            <w:r w:rsidRPr="00C17306">
              <w:t>force acceptance of a stadium with housing.</w:t>
            </w:r>
            <w:r>
              <w:t xml:space="preserve"> </w:t>
            </w:r>
            <w:r w:rsidRPr="00C17306">
              <w:t xml:space="preserve"> Exceptional circumstances not demonstrated.</w:t>
            </w:r>
          </w:p>
        </w:tc>
      </w:tr>
      <w:tr w:rsidR="003041DF" w14:paraId="72683012" w14:textId="77777777" w:rsidTr="003041DF">
        <w:trPr>
          <w:cantSplit/>
        </w:trPr>
        <w:tc>
          <w:tcPr>
            <w:tcW w:w="1421" w:type="dxa"/>
            <w:vMerge w:val="restart"/>
          </w:tcPr>
          <w:p w14:paraId="45CE167D" w14:textId="0004C9CE" w:rsidR="003041DF" w:rsidRDefault="003041DF" w:rsidP="005C197C">
            <w:r>
              <w:t>Ch2</w:t>
            </w:r>
            <w:r>
              <w:t xml:space="preserve"> – Housing </w:t>
            </w:r>
            <w:r>
              <w:lastRenderedPageBreak/>
              <w:t>Choice for All</w:t>
            </w:r>
          </w:p>
        </w:tc>
        <w:tc>
          <w:tcPr>
            <w:tcW w:w="1645" w:type="dxa"/>
          </w:tcPr>
          <w:p w14:paraId="0E4188FD" w14:textId="77777777" w:rsidR="003041DF" w:rsidRDefault="003041DF" w:rsidP="005C197C">
            <w:r>
              <w:lastRenderedPageBreak/>
              <w:t>H1</w:t>
            </w:r>
          </w:p>
        </w:tc>
        <w:tc>
          <w:tcPr>
            <w:tcW w:w="2175" w:type="dxa"/>
          </w:tcPr>
          <w:p w14:paraId="033101A5" w14:textId="77777777" w:rsidR="003041DF" w:rsidRDefault="003041DF" w:rsidP="005C197C">
            <w:r>
              <w:t>Strongly Disagree</w:t>
            </w:r>
          </w:p>
        </w:tc>
        <w:tc>
          <w:tcPr>
            <w:tcW w:w="3939" w:type="dxa"/>
          </w:tcPr>
          <w:p w14:paraId="0A18BF1B" w14:textId="77777777" w:rsidR="003041DF" w:rsidRDefault="003041DF" w:rsidP="005C197C">
            <w:r>
              <w:t>No enforceable % mix — developer</w:t>
            </w:r>
            <w:r>
              <w:rPr>
                <w:rFonts w:ascii="Cambria Math" w:hAnsi="Cambria Math" w:cs="Cambria Math"/>
              </w:rPr>
              <w:t>‑</w:t>
            </w:r>
            <w:r>
              <w:t>led outcome.</w:t>
            </w:r>
          </w:p>
        </w:tc>
      </w:tr>
      <w:tr w:rsidR="003041DF" w14:paraId="452D42DC" w14:textId="77777777" w:rsidTr="003041DF">
        <w:trPr>
          <w:cantSplit/>
        </w:trPr>
        <w:tc>
          <w:tcPr>
            <w:tcW w:w="1421" w:type="dxa"/>
            <w:vMerge/>
          </w:tcPr>
          <w:p w14:paraId="22091B64" w14:textId="16B770F8" w:rsidR="003041DF" w:rsidRDefault="003041DF" w:rsidP="003041DF"/>
        </w:tc>
        <w:tc>
          <w:tcPr>
            <w:tcW w:w="1645" w:type="dxa"/>
          </w:tcPr>
          <w:p w14:paraId="526C956E" w14:textId="77777777" w:rsidR="003041DF" w:rsidRDefault="003041DF" w:rsidP="003041DF">
            <w:r>
              <w:t>H2</w:t>
            </w:r>
          </w:p>
        </w:tc>
        <w:tc>
          <w:tcPr>
            <w:tcW w:w="2175" w:type="dxa"/>
          </w:tcPr>
          <w:p w14:paraId="2AAD8F74" w14:textId="77777777" w:rsidR="003041DF" w:rsidRDefault="003041DF" w:rsidP="003041DF">
            <w:r>
              <w:t>Strongly Disagree</w:t>
            </w:r>
          </w:p>
        </w:tc>
        <w:tc>
          <w:tcPr>
            <w:tcW w:w="3939" w:type="dxa"/>
          </w:tcPr>
          <w:p w14:paraId="5F651D98" w14:textId="2B5FBE33" w:rsidR="003041DF" w:rsidRDefault="003041DF" w:rsidP="003041DF">
            <w:r>
              <w:t>Allows off</w:t>
            </w:r>
            <w:r>
              <w:rPr>
                <w:rFonts w:ascii="Cambria Math" w:hAnsi="Cambria Math" w:cs="Cambria Math"/>
              </w:rPr>
              <w:t>‑</w:t>
            </w:r>
            <w:r>
              <w:t>site payment instead of real affordable homes.</w:t>
            </w:r>
            <w:r w:rsidR="00E914AA">
              <w:t xml:space="preserve">  Should be aligned with SP3 to strengthen not weaken.</w:t>
            </w:r>
          </w:p>
        </w:tc>
      </w:tr>
      <w:tr w:rsidR="003041DF" w14:paraId="14796AED" w14:textId="77777777" w:rsidTr="003041DF">
        <w:trPr>
          <w:cantSplit/>
        </w:trPr>
        <w:tc>
          <w:tcPr>
            <w:tcW w:w="1421" w:type="dxa"/>
            <w:vMerge/>
          </w:tcPr>
          <w:p w14:paraId="746AC850" w14:textId="167587E1" w:rsidR="003041DF" w:rsidRDefault="003041DF" w:rsidP="003041DF"/>
        </w:tc>
        <w:tc>
          <w:tcPr>
            <w:tcW w:w="1645" w:type="dxa"/>
          </w:tcPr>
          <w:p w14:paraId="3F938F76" w14:textId="77777777" w:rsidR="003041DF" w:rsidRDefault="003041DF" w:rsidP="003041DF">
            <w:r>
              <w:t>H3</w:t>
            </w:r>
          </w:p>
        </w:tc>
        <w:tc>
          <w:tcPr>
            <w:tcW w:w="2175" w:type="dxa"/>
          </w:tcPr>
          <w:p w14:paraId="1AF37903" w14:textId="77777777" w:rsidR="003041DF" w:rsidRDefault="003041DF" w:rsidP="003041DF">
            <w:r>
              <w:t>Strongly Disagree</w:t>
            </w:r>
          </w:p>
        </w:tc>
        <w:tc>
          <w:tcPr>
            <w:tcW w:w="3939" w:type="dxa"/>
          </w:tcPr>
          <w:p w14:paraId="09762516" w14:textId="77777777" w:rsidR="003041DF" w:rsidRDefault="003041DF" w:rsidP="003041DF">
            <w:r>
              <w:t>Weakens rural protection — invites speculative build.</w:t>
            </w:r>
          </w:p>
        </w:tc>
      </w:tr>
      <w:tr w:rsidR="00A07807" w14:paraId="4C974E60" w14:textId="77777777" w:rsidTr="003041DF">
        <w:trPr>
          <w:cantSplit/>
        </w:trPr>
        <w:tc>
          <w:tcPr>
            <w:tcW w:w="1421" w:type="dxa"/>
            <w:vMerge/>
          </w:tcPr>
          <w:p w14:paraId="68851056" w14:textId="77777777" w:rsidR="00A07807" w:rsidRDefault="00A07807" w:rsidP="003041DF"/>
        </w:tc>
        <w:tc>
          <w:tcPr>
            <w:tcW w:w="1645" w:type="dxa"/>
          </w:tcPr>
          <w:p w14:paraId="53D09C5E" w14:textId="6A43FECE" w:rsidR="00A07807" w:rsidRDefault="00A07807" w:rsidP="003041DF">
            <w:r>
              <w:t>SP3</w:t>
            </w:r>
          </w:p>
        </w:tc>
        <w:tc>
          <w:tcPr>
            <w:tcW w:w="2175" w:type="dxa"/>
          </w:tcPr>
          <w:p w14:paraId="050B95EC" w14:textId="10CFF15C" w:rsidR="00A07807" w:rsidRDefault="00A07807" w:rsidP="003041DF">
            <w:r>
              <w:t>Strongly Disagree</w:t>
            </w:r>
          </w:p>
        </w:tc>
        <w:tc>
          <w:tcPr>
            <w:tcW w:w="3939" w:type="dxa"/>
          </w:tcPr>
          <w:p w14:paraId="2883350F" w14:textId="608FAFB2" w:rsidR="00A07807" w:rsidRDefault="00561F60" w:rsidP="003041DF">
            <w:r>
              <w:t xml:space="preserve">Evidence base identifies a greater need for affordable housing.  </w:t>
            </w:r>
            <w:r w:rsidR="008C5BCC">
              <w:t xml:space="preserve">To avoid this policy weakening the affordable housing regime, the </w:t>
            </w:r>
            <w:r w:rsidR="00E9196A">
              <w:t xml:space="preserve">policy should be </w:t>
            </w:r>
            <w:r w:rsidR="007D48AC">
              <w:t>strengthened.</w:t>
            </w:r>
            <w:r w:rsidR="00602D3D">
              <w:t xml:space="preserve">  Align H2 and SP3 to strengthen the affordable housing expectations.  </w:t>
            </w:r>
          </w:p>
        </w:tc>
      </w:tr>
      <w:tr w:rsidR="003041DF" w14:paraId="7C679CD6" w14:textId="77777777" w:rsidTr="003041DF">
        <w:trPr>
          <w:cantSplit/>
        </w:trPr>
        <w:tc>
          <w:tcPr>
            <w:tcW w:w="1421" w:type="dxa"/>
            <w:vMerge/>
          </w:tcPr>
          <w:p w14:paraId="1107C6D7" w14:textId="35EA758A" w:rsidR="003041DF" w:rsidRDefault="003041DF" w:rsidP="003041DF"/>
        </w:tc>
        <w:tc>
          <w:tcPr>
            <w:tcW w:w="1645" w:type="dxa"/>
          </w:tcPr>
          <w:p w14:paraId="7263D72E" w14:textId="77777777" w:rsidR="003041DF" w:rsidRDefault="003041DF" w:rsidP="003041DF">
            <w:r>
              <w:t>H4</w:t>
            </w:r>
          </w:p>
        </w:tc>
        <w:tc>
          <w:tcPr>
            <w:tcW w:w="2175" w:type="dxa"/>
          </w:tcPr>
          <w:p w14:paraId="7B42FEF0" w14:textId="77777777" w:rsidR="003041DF" w:rsidRDefault="003041DF" w:rsidP="003041DF">
            <w:r>
              <w:t>Strongly Disagree</w:t>
            </w:r>
          </w:p>
        </w:tc>
        <w:tc>
          <w:tcPr>
            <w:tcW w:w="3939" w:type="dxa"/>
          </w:tcPr>
          <w:p w14:paraId="543B2783" w14:textId="77777777" w:rsidR="003041DF" w:rsidRDefault="003041DF" w:rsidP="003041DF">
            <w:r>
              <w:t>Needs fixed accessibility standards + no viability escape.</w:t>
            </w:r>
          </w:p>
        </w:tc>
      </w:tr>
      <w:tr w:rsidR="003041DF" w14:paraId="07C4FD4D" w14:textId="77777777" w:rsidTr="003041DF">
        <w:trPr>
          <w:cantSplit/>
        </w:trPr>
        <w:tc>
          <w:tcPr>
            <w:tcW w:w="1421" w:type="dxa"/>
            <w:vMerge/>
          </w:tcPr>
          <w:p w14:paraId="2DF8AC30" w14:textId="7EAC0ED0" w:rsidR="003041DF" w:rsidRDefault="003041DF" w:rsidP="005C197C"/>
        </w:tc>
        <w:tc>
          <w:tcPr>
            <w:tcW w:w="1645" w:type="dxa"/>
          </w:tcPr>
          <w:p w14:paraId="37F27D63" w14:textId="77777777" w:rsidR="003041DF" w:rsidRDefault="003041DF" w:rsidP="005C197C">
            <w:r>
              <w:t>H5</w:t>
            </w:r>
          </w:p>
        </w:tc>
        <w:tc>
          <w:tcPr>
            <w:tcW w:w="2175" w:type="dxa"/>
          </w:tcPr>
          <w:p w14:paraId="6CC11189" w14:textId="77777777" w:rsidR="003041DF" w:rsidRDefault="003041DF" w:rsidP="005C197C">
            <w:r>
              <w:t>Strongly Disagree</w:t>
            </w:r>
          </w:p>
        </w:tc>
        <w:tc>
          <w:tcPr>
            <w:tcW w:w="3939" w:type="dxa"/>
          </w:tcPr>
          <w:p w14:paraId="45CA950D" w14:textId="77777777" w:rsidR="003041DF" w:rsidRDefault="003041DF" w:rsidP="005C197C">
            <w:r>
              <w:t>20% affordable must be fixed — no viability reduction.</w:t>
            </w:r>
          </w:p>
        </w:tc>
      </w:tr>
      <w:tr w:rsidR="003041DF" w14:paraId="18E485AC" w14:textId="77777777" w:rsidTr="003041DF">
        <w:trPr>
          <w:cantSplit/>
        </w:trPr>
        <w:tc>
          <w:tcPr>
            <w:tcW w:w="1421" w:type="dxa"/>
            <w:vMerge/>
          </w:tcPr>
          <w:p w14:paraId="2B3623D4" w14:textId="29C1400B" w:rsidR="003041DF" w:rsidRDefault="003041DF" w:rsidP="005C197C"/>
        </w:tc>
        <w:tc>
          <w:tcPr>
            <w:tcW w:w="1645" w:type="dxa"/>
          </w:tcPr>
          <w:p w14:paraId="57093FF9" w14:textId="77777777" w:rsidR="003041DF" w:rsidRDefault="003041DF" w:rsidP="005C197C">
            <w:r>
              <w:t>H6</w:t>
            </w:r>
          </w:p>
        </w:tc>
        <w:tc>
          <w:tcPr>
            <w:tcW w:w="2175" w:type="dxa"/>
          </w:tcPr>
          <w:p w14:paraId="18E829FF" w14:textId="77777777" w:rsidR="003041DF" w:rsidRDefault="003041DF" w:rsidP="005C197C">
            <w:r>
              <w:t>Strongly Disagree</w:t>
            </w:r>
          </w:p>
        </w:tc>
        <w:tc>
          <w:tcPr>
            <w:tcW w:w="3939" w:type="dxa"/>
          </w:tcPr>
          <w:p w14:paraId="1D9FDCC0" w14:textId="77777777" w:rsidR="003041DF" w:rsidRDefault="003041DF" w:rsidP="005C197C">
            <w:r>
              <w:t>Small sites intensification without safeguard.</w:t>
            </w:r>
          </w:p>
        </w:tc>
      </w:tr>
      <w:tr w:rsidR="003041DF" w14:paraId="1F876E31" w14:textId="77777777" w:rsidTr="003041DF">
        <w:trPr>
          <w:cantSplit/>
        </w:trPr>
        <w:tc>
          <w:tcPr>
            <w:tcW w:w="1421" w:type="dxa"/>
            <w:vMerge/>
          </w:tcPr>
          <w:p w14:paraId="11E8DBBF" w14:textId="75C2B0D9" w:rsidR="003041DF" w:rsidRDefault="003041DF" w:rsidP="005C197C"/>
        </w:tc>
        <w:tc>
          <w:tcPr>
            <w:tcW w:w="1645" w:type="dxa"/>
          </w:tcPr>
          <w:p w14:paraId="2D42F412" w14:textId="77777777" w:rsidR="003041DF" w:rsidRDefault="003041DF" w:rsidP="005C197C">
            <w:r>
              <w:t>H7</w:t>
            </w:r>
          </w:p>
        </w:tc>
        <w:tc>
          <w:tcPr>
            <w:tcW w:w="2175" w:type="dxa"/>
          </w:tcPr>
          <w:p w14:paraId="7C9A2D87" w14:textId="77777777" w:rsidR="003041DF" w:rsidRDefault="003041DF" w:rsidP="005C197C">
            <w:r>
              <w:t>Strongly Disagree</w:t>
            </w:r>
          </w:p>
        </w:tc>
        <w:tc>
          <w:tcPr>
            <w:tcW w:w="3939" w:type="dxa"/>
          </w:tcPr>
          <w:p w14:paraId="41D18FD3" w14:textId="77777777" w:rsidR="003041DF" w:rsidRDefault="003041DF" w:rsidP="005C197C">
            <w:r>
              <w:t>Not capacity</w:t>
            </w:r>
            <w:r>
              <w:rPr>
                <w:rFonts w:ascii="Cambria Math" w:hAnsi="Cambria Math" w:cs="Cambria Math"/>
              </w:rPr>
              <w:t>‑</w:t>
            </w:r>
            <w:r>
              <w:t xml:space="preserve">tested </w:t>
            </w:r>
            <w:r>
              <w:rPr>
                <w:rFonts w:ascii="Calibri" w:hAnsi="Calibri" w:cs="Calibri"/>
              </w:rPr>
              <w:t>—</w:t>
            </w:r>
            <w:r>
              <w:t xml:space="preserve"> risks harm to settlement character.</w:t>
            </w:r>
          </w:p>
        </w:tc>
      </w:tr>
      <w:tr w:rsidR="003041DF" w14:paraId="3CB06949" w14:textId="77777777" w:rsidTr="003041DF">
        <w:trPr>
          <w:cantSplit/>
        </w:trPr>
        <w:tc>
          <w:tcPr>
            <w:tcW w:w="1421" w:type="dxa"/>
            <w:vMerge/>
          </w:tcPr>
          <w:p w14:paraId="299B0DCB" w14:textId="49076047" w:rsidR="003041DF" w:rsidRDefault="003041DF" w:rsidP="005C197C"/>
        </w:tc>
        <w:tc>
          <w:tcPr>
            <w:tcW w:w="1645" w:type="dxa"/>
          </w:tcPr>
          <w:p w14:paraId="3C6CDCDE" w14:textId="77777777" w:rsidR="003041DF" w:rsidRDefault="003041DF" w:rsidP="005C197C">
            <w:r>
              <w:t>H8</w:t>
            </w:r>
          </w:p>
        </w:tc>
        <w:tc>
          <w:tcPr>
            <w:tcW w:w="2175" w:type="dxa"/>
          </w:tcPr>
          <w:p w14:paraId="37620C5D" w14:textId="77777777" w:rsidR="003041DF" w:rsidRDefault="003041DF" w:rsidP="005C197C">
            <w:r>
              <w:t>Strongly Disagree</w:t>
            </w:r>
          </w:p>
        </w:tc>
        <w:tc>
          <w:tcPr>
            <w:tcW w:w="3939" w:type="dxa"/>
          </w:tcPr>
          <w:p w14:paraId="47810BD9" w14:textId="77777777" w:rsidR="003041DF" w:rsidRDefault="003041DF" w:rsidP="005C197C">
            <w:r>
              <w:t>5% requirement not evidenced or enforceable.</w:t>
            </w:r>
          </w:p>
        </w:tc>
      </w:tr>
      <w:tr w:rsidR="003041DF" w14:paraId="3E3F7FBD" w14:textId="77777777" w:rsidTr="003041DF">
        <w:trPr>
          <w:cantSplit/>
        </w:trPr>
        <w:tc>
          <w:tcPr>
            <w:tcW w:w="1421" w:type="dxa"/>
            <w:vMerge/>
          </w:tcPr>
          <w:p w14:paraId="56C3ED1C" w14:textId="3B056FEA" w:rsidR="003041DF" w:rsidRDefault="003041DF" w:rsidP="005C197C"/>
        </w:tc>
        <w:tc>
          <w:tcPr>
            <w:tcW w:w="1645" w:type="dxa"/>
          </w:tcPr>
          <w:p w14:paraId="356C31F9" w14:textId="77777777" w:rsidR="003041DF" w:rsidRDefault="003041DF" w:rsidP="005C197C">
            <w:r>
              <w:t>GT2</w:t>
            </w:r>
          </w:p>
        </w:tc>
        <w:tc>
          <w:tcPr>
            <w:tcW w:w="2175" w:type="dxa"/>
          </w:tcPr>
          <w:p w14:paraId="12C5FF64" w14:textId="77777777" w:rsidR="003041DF" w:rsidRDefault="003041DF" w:rsidP="005C197C">
            <w:r>
              <w:t>Strongly Disagree</w:t>
            </w:r>
          </w:p>
        </w:tc>
        <w:tc>
          <w:tcPr>
            <w:tcW w:w="3939" w:type="dxa"/>
          </w:tcPr>
          <w:p w14:paraId="50E36250" w14:textId="77777777" w:rsidR="003041DF" w:rsidRDefault="003041DF" w:rsidP="005C197C">
            <w:r>
              <w:t>Needs measurable locational criteria.</w:t>
            </w:r>
          </w:p>
        </w:tc>
      </w:tr>
      <w:tr w:rsidR="0054435A" w14:paraId="781ADE55" w14:textId="77777777" w:rsidTr="003041DF">
        <w:trPr>
          <w:cantSplit/>
        </w:trPr>
        <w:tc>
          <w:tcPr>
            <w:tcW w:w="1421" w:type="dxa"/>
            <w:vMerge w:val="restart"/>
          </w:tcPr>
          <w:p w14:paraId="251445FC" w14:textId="5BD4FE93" w:rsidR="0054435A" w:rsidRDefault="0054435A" w:rsidP="005C197C">
            <w:r>
              <w:t>Ch3</w:t>
            </w:r>
            <w:r>
              <w:t xml:space="preserve"> – Employment &amp; Economy</w:t>
            </w:r>
          </w:p>
        </w:tc>
        <w:tc>
          <w:tcPr>
            <w:tcW w:w="1645" w:type="dxa"/>
          </w:tcPr>
          <w:p w14:paraId="15CDA399" w14:textId="77777777" w:rsidR="0054435A" w:rsidRDefault="0054435A" w:rsidP="005C197C">
            <w:r>
              <w:t>EMP1</w:t>
            </w:r>
          </w:p>
        </w:tc>
        <w:tc>
          <w:tcPr>
            <w:tcW w:w="2175" w:type="dxa"/>
          </w:tcPr>
          <w:p w14:paraId="0D09F043" w14:textId="42D4C62D" w:rsidR="0054435A" w:rsidRDefault="0054435A" w:rsidP="005C197C">
            <w:r>
              <w:t xml:space="preserve">Strongly </w:t>
            </w:r>
            <w:r>
              <w:t>Disagree</w:t>
            </w:r>
          </w:p>
        </w:tc>
        <w:tc>
          <w:tcPr>
            <w:tcW w:w="3939" w:type="dxa"/>
          </w:tcPr>
          <w:p w14:paraId="5152FF59" w14:textId="03E4CE4C" w:rsidR="0054435A" w:rsidRDefault="0054435A" w:rsidP="005C197C">
            <w:r>
              <w:t>Insufficient protection against conversion pressure.</w:t>
            </w:r>
            <w:r w:rsidR="00A1749B">
              <w:t xml:space="preserve">  Evidence-based floorspace targets to be provided, with a clearer criteria and monitoring and delivery mechanisms outlined.  Prevent developers using viability arguments to bypass obligations.  </w:t>
            </w:r>
            <w:r w:rsidR="00525EBF">
              <w:t xml:space="preserve">These changes will ensure </w:t>
            </w:r>
            <w:r w:rsidR="00A1749B">
              <w:t>the public interest</w:t>
            </w:r>
            <w:r w:rsidR="00525EBF">
              <w:t xml:space="preserve"> to deliver sustainable economic development in line with national policy.</w:t>
            </w:r>
          </w:p>
        </w:tc>
      </w:tr>
      <w:tr w:rsidR="0054435A" w14:paraId="1BFF0601" w14:textId="77777777" w:rsidTr="003041DF">
        <w:trPr>
          <w:cantSplit/>
        </w:trPr>
        <w:tc>
          <w:tcPr>
            <w:tcW w:w="1421" w:type="dxa"/>
            <w:vMerge/>
          </w:tcPr>
          <w:p w14:paraId="39D05D63" w14:textId="153744C4" w:rsidR="0054435A" w:rsidRDefault="0054435A" w:rsidP="005C197C"/>
        </w:tc>
        <w:tc>
          <w:tcPr>
            <w:tcW w:w="1645" w:type="dxa"/>
          </w:tcPr>
          <w:p w14:paraId="099B7835" w14:textId="77777777" w:rsidR="0054435A" w:rsidRPr="00FB6E0D" w:rsidRDefault="0054435A" w:rsidP="005C197C">
            <w:pPr>
              <w:rPr>
                <w:strike/>
              </w:rPr>
            </w:pPr>
            <w:r w:rsidRPr="00FB6E0D">
              <w:rPr>
                <w:strike/>
              </w:rPr>
              <w:t>EMP2</w:t>
            </w:r>
          </w:p>
        </w:tc>
        <w:tc>
          <w:tcPr>
            <w:tcW w:w="2175" w:type="dxa"/>
          </w:tcPr>
          <w:p w14:paraId="2C5F498B" w14:textId="77777777" w:rsidR="0054435A" w:rsidRPr="00FB6E0D" w:rsidRDefault="0054435A" w:rsidP="005C197C">
            <w:pPr>
              <w:rPr>
                <w:strike/>
              </w:rPr>
            </w:pPr>
            <w:r w:rsidRPr="00FB6E0D">
              <w:rPr>
                <w:strike/>
              </w:rPr>
              <w:t>Disagree/Tighten</w:t>
            </w:r>
          </w:p>
        </w:tc>
        <w:tc>
          <w:tcPr>
            <w:tcW w:w="3939" w:type="dxa"/>
          </w:tcPr>
          <w:p w14:paraId="5E952D7D" w14:textId="77777777" w:rsidR="0054435A" w:rsidRPr="00FB6E0D" w:rsidRDefault="0054435A" w:rsidP="005C197C">
            <w:pPr>
              <w:rPr>
                <w:strike/>
              </w:rPr>
            </w:pPr>
            <w:r w:rsidRPr="00FB6E0D">
              <w:rPr>
                <w:strike/>
              </w:rPr>
              <w:t>Must explicitly exclude stadium/large non</w:t>
            </w:r>
            <w:r w:rsidRPr="00FB6E0D">
              <w:rPr>
                <w:rFonts w:ascii="Cambria Math" w:hAnsi="Cambria Math" w:cs="Cambria Math"/>
                <w:strike/>
              </w:rPr>
              <w:t>‑</w:t>
            </w:r>
            <w:r w:rsidRPr="00FB6E0D">
              <w:rPr>
                <w:strike/>
              </w:rPr>
              <w:t>employment uses.</w:t>
            </w:r>
          </w:p>
        </w:tc>
      </w:tr>
      <w:tr w:rsidR="0054435A" w14:paraId="55765F99" w14:textId="77777777" w:rsidTr="003041DF">
        <w:trPr>
          <w:cantSplit/>
        </w:trPr>
        <w:tc>
          <w:tcPr>
            <w:tcW w:w="1421" w:type="dxa"/>
            <w:vMerge/>
          </w:tcPr>
          <w:p w14:paraId="219615ED" w14:textId="0455D43F" w:rsidR="0054435A" w:rsidRDefault="0054435A" w:rsidP="005C197C"/>
        </w:tc>
        <w:tc>
          <w:tcPr>
            <w:tcW w:w="1645" w:type="dxa"/>
          </w:tcPr>
          <w:p w14:paraId="15D3FC78" w14:textId="77777777" w:rsidR="0054435A" w:rsidRDefault="0054435A" w:rsidP="005C197C">
            <w:r>
              <w:t>EMP3</w:t>
            </w:r>
          </w:p>
        </w:tc>
        <w:tc>
          <w:tcPr>
            <w:tcW w:w="2175" w:type="dxa"/>
          </w:tcPr>
          <w:p w14:paraId="00893322" w14:textId="77777777" w:rsidR="0054435A" w:rsidRDefault="0054435A" w:rsidP="005C197C">
            <w:r>
              <w:t>Disagree</w:t>
            </w:r>
          </w:p>
        </w:tc>
        <w:tc>
          <w:tcPr>
            <w:tcW w:w="3939" w:type="dxa"/>
          </w:tcPr>
          <w:p w14:paraId="2A7B40EC" w14:textId="77777777" w:rsidR="0054435A" w:rsidRDefault="0054435A" w:rsidP="005C197C">
            <w:r>
              <w:t>Conversion to housing too easily justified.</w:t>
            </w:r>
          </w:p>
        </w:tc>
      </w:tr>
      <w:tr w:rsidR="0054435A" w14:paraId="4CB9F513" w14:textId="77777777" w:rsidTr="003041DF">
        <w:trPr>
          <w:cantSplit/>
        </w:trPr>
        <w:tc>
          <w:tcPr>
            <w:tcW w:w="1421" w:type="dxa"/>
            <w:vMerge/>
          </w:tcPr>
          <w:p w14:paraId="393E48F6" w14:textId="6BBC1B79" w:rsidR="0054435A" w:rsidRDefault="0054435A" w:rsidP="005C197C"/>
        </w:tc>
        <w:tc>
          <w:tcPr>
            <w:tcW w:w="1645" w:type="dxa"/>
          </w:tcPr>
          <w:p w14:paraId="2581D564" w14:textId="77777777" w:rsidR="0054435A" w:rsidRDefault="0054435A" w:rsidP="005C197C">
            <w:r>
              <w:t>EMP4</w:t>
            </w:r>
          </w:p>
        </w:tc>
        <w:tc>
          <w:tcPr>
            <w:tcW w:w="2175" w:type="dxa"/>
          </w:tcPr>
          <w:p w14:paraId="00E436DF" w14:textId="77777777" w:rsidR="0054435A" w:rsidRDefault="0054435A" w:rsidP="005C197C">
            <w:r>
              <w:t>Disagree</w:t>
            </w:r>
          </w:p>
        </w:tc>
        <w:tc>
          <w:tcPr>
            <w:tcW w:w="3939" w:type="dxa"/>
          </w:tcPr>
          <w:p w14:paraId="4E19BECF" w14:textId="77777777" w:rsidR="0054435A" w:rsidRDefault="0054435A" w:rsidP="005C197C">
            <w:r>
              <w:t>Tighten rural/landscape restrictions.</w:t>
            </w:r>
          </w:p>
        </w:tc>
      </w:tr>
      <w:tr w:rsidR="0054435A" w14:paraId="1C10FCD9" w14:textId="77777777" w:rsidTr="003041DF">
        <w:trPr>
          <w:cantSplit/>
        </w:trPr>
        <w:tc>
          <w:tcPr>
            <w:tcW w:w="1421" w:type="dxa"/>
            <w:vMerge/>
          </w:tcPr>
          <w:p w14:paraId="14FBB219" w14:textId="2A76DFB4" w:rsidR="0054435A" w:rsidRDefault="0054435A" w:rsidP="005C197C"/>
        </w:tc>
        <w:tc>
          <w:tcPr>
            <w:tcW w:w="1645" w:type="dxa"/>
          </w:tcPr>
          <w:p w14:paraId="16EC148B" w14:textId="77777777" w:rsidR="0054435A" w:rsidRDefault="0054435A" w:rsidP="005C197C">
            <w:r>
              <w:t>EMP5</w:t>
            </w:r>
          </w:p>
        </w:tc>
        <w:tc>
          <w:tcPr>
            <w:tcW w:w="2175" w:type="dxa"/>
          </w:tcPr>
          <w:p w14:paraId="79DCD975" w14:textId="77777777" w:rsidR="0054435A" w:rsidRDefault="0054435A" w:rsidP="005C197C">
            <w:r>
              <w:t>Agree – Strengthen</w:t>
            </w:r>
          </w:p>
        </w:tc>
        <w:tc>
          <w:tcPr>
            <w:tcW w:w="3939" w:type="dxa"/>
          </w:tcPr>
          <w:p w14:paraId="288F49DA" w14:textId="77777777" w:rsidR="0054435A" w:rsidRDefault="0054435A" w:rsidP="005C197C">
            <w:r>
              <w:t>Tourism must prove need + no GB harm.</w:t>
            </w:r>
          </w:p>
        </w:tc>
      </w:tr>
      <w:tr w:rsidR="00275F10" w14:paraId="3150DBCE" w14:textId="77777777" w:rsidTr="003041DF">
        <w:trPr>
          <w:cantSplit/>
        </w:trPr>
        <w:tc>
          <w:tcPr>
            <w:tcW w:w="1421" w:type="dxa"/>
            <w:vMerge w:val="restart"/>
          </w:tcPr>
          <w:p w14:paraId="52C0E3B4" w14:textId="691B5A6A" w:rsidR="00275F10" w:rsidRDefault="00275F10" w:rsidP="005C197C">
            <w:r>
              <w:t>Ch4</w:t>
            </w:r>
            <w:r>
              <w:t xml:space="preserve"> – Climate Change.</w:t>
            </w:r>
          </w:p>
        </w:tc>
        <w:tc>
          <w:tcPr>
            <w:tcW w:w="1645" w:type="dxa"/>
          </w:tcPr>
          <w:p w14:paraId="4CEC462F" w14:textId="77777777" w:rsidR="00275F10" w:rsidRDefault="00275F10" w:rsidP="005C197C">
            <w:r>
              <w:t>CC1–CC4</w:t>
            </w:r>
          </w:p>
        </w:tc>
        <w:tc>
          <w:tcPr>
            <w:tcW w:w="2175" w:type="dxa"/>
          </w:tcPr>
          <w:p w14:paraId="1F4D5217" w14:textId="77777777" w:rsidR="00275F10" w:rsidRDefault="00275F10" w:rsidP="005C197C">
            <w:r>
              <w:t>Strongly Agree</w:t>
            </w:r>
          </w:p>
        </w:tc>
        <w:tc>
          <w:tcPr>
            <w:tcW w:w="3939" w:type="dxa"/>
          </w:tcPr>
          <w:p w14:paraId="74530E19" w14:textId="77777777" w:rsidR="00275F10" w:rsidRDefault="00275F10" w:rsidP="005C197C">
            <w:r>
              <w:t>Net</w:t>
            </w:r>
            <w:r>
              <w:rPr>
                <w:rFonts w:ascii="Cambria Math" w:hAnsi="Cambria Math" w:cs="Cambria Math"/>
              </w:rPr>
              <w:t>‑</w:t>
            </w:r>
            <w:r>
              <w:t>zero makes PED1/SWAN17 unsustainable.</w:t>
            </w:r>
          </w:p>
        </w:tc>
      </w:tr>
      <w:tr w:rsidR="00275F10" w14:paraId="0A737130" w14:textId="77777777" w:rsidTr="003041DF">
        <w:trPr>
          <w:cantSplit/>
        </w:trPr>
        <w:tc>
          <w:tcPr>
            <w:tcW w:w="1421" w:type="dxa"/>
            <w:vMerge/>
          </w:tcPr>
          <w:p w14:paraId="060D3818" w14:textId="5968837A" w:rsidR="00275F10" w:rsidRDefault="00275F10" w:rsidP="005C197C"/>
        </w:tc>
        <w:tc>
          <w:tcPr>
            <w:tcW w:w="1645" w:type="dxa"/>
          </w:tcPr>
          <w:p w14:paraId="442DA46B" w14:textId="77777777" w:rsidR="00275F10" w:rsidRDefault="00275F10" w:rsidP="005C197C">
            <w:r>
              <w:t>W1–W3</w:t>
            </w:r>
          </w:p>
        </w:tc>
        <w:tc>
          <w:tcPr>
            <w:tcW w:w="2175" w:type="dxa"/>
          </w:tcPr>
          <w:p w14:paraId="26098373" w14:textId="77777777" w:rsidR="00275F10" w:rsidRDefault="00275F10" w:rsidP="005C197C">
            <w:r>
              <w:t>Strongly Agree</w:t>
            </w:r>
          </w:p>
        </w:tc>
        <w:tc>
          <w:tcPr>
            <w:tcW w:w="3939" w:type="dxa"/>
          </w:tcPr>
          <w:p w14:paraId="56049FCD" w14:textId="77777777" w:rsidR="00275F10" w:rsidRDefault="00275F10" w:rsidP="005C197C">
            <w:r>
              <w:t>No drainage funding → sites undeliverable.</w:t>
            </w:r>
          </w:p>
        </w:tc>
      </w:tr>
      <w:tr w:rsidR="00D227A4" w14:paraId="3DC1E944" w14:textId="77777777" w:rsidTr="003041DF">
        <w:trPr>
          <w:cantSplit/>
        </w:trPr>
        <w:tc>
          <w:tcPr>
            <w:tcW w:w="1421" w:type="dxa"/>
          </w:tcPr>
          <w:p w14:paraId="09C9FFA1" w14:textId="5DDA0BA2" w:rsidR="00D227A4" w:rsidRDefault="00D227A4" w:rsidP="005C197C">
            <w:r>
              <w:t>Ch5</w:t>
            </w:r>
            <w:r w:rsidR="00275F10">
              <w:t xml:space="preserve"> - Design</w:t>
            </w:r>
          </w:p>
        </w:tc>
        <w:tc>
          <w:tcPr>
            <w:tcW w:w="1645" w:type="dxa"/>
          </w:tcPr>
          <w:p w14:paraId="25607804" w14:textId="77777777" w:rsidR="00D227A4" w:rsidRDefault="00D227A4" w:rsidP="005C197C">
            <w:r>
              <w:t>DE1–DE7</w:t>
            </w:r>
          </w:p>
        </w:tc>
        <w:tc>
          <w:tcPr>
            <w:tcW w:w="2175" w:type="dxa"/>
          </w:tcPr>
          <w:p w14:paraId="00E8F199" w14:textId="77777777" w:rsidR="00D227A4" w:rsidRDefault="00D227A4" w:rsidP="005C197C">
            <w:r>
              <w:t>Strongly Agree</w:t>
            </w:r>
          </w:p>
        </w:tc>
        <w:tc>
          <w:tcPr>
            <w:tcW w:w="3939" w:type="dxa"/>
          </w:tcPr>
          <w:p w14:paraId="03891A48" w14:textId="77777777" w:rsidR="00D227A4" w:rsidRDefault="00D227A4" w:rsidP="005C197C">
            <w:r>
              <w:t>Design/heritage tests conflict with allocations.</w:t>
            </w:r>
          </w:p>
        </w:tc>
      </w:tr>
      <w:tr w:rsidR="004E48B8" w14:paraId="31C11E05" w14:textId="77777777" w:rsidTr="005C197C">
        <w:trPr>
          <w:cantSplit/>
        </w:trPr>
        <w:tc>
          <w:tcPr>
            <w:tcW w:w="1421" w:type="dxa"/>
            <w:vMerge w:val="restart"/>
          </w:tcPr>
          <w:p w14:paraId="38D3F099" w14:textId="77777777" w:rsidR="004E48B8" w:rsidRDefault="004E48B8" w:rsidP="005C197C">
            <w:r>
              <w:t>Ch6 – Health and Wellbeing</w:t>
            </w:r>
          </w:p>
        </w:tc>
        <w:tc>
          <w:tcPr>
            <w:tcW w:w="1645" w:type="dxa"/>
          </w:tcPr>
          <w:p w14:paraId="35C1E4B1" w14:textId="29C991E7" w:rsidR="004E48B8" w:rsidRDefault="004E48B8" w:rsidP="005C197C">
            <w:r>
              <w:t>HW</w:t>
            </w:r>
            <w:r w:rsidR="00444A64">
              <w:t>1</w:t>
            </w:r>
          </w:p>
        </w:tc>
        <w:tc>
          <w:tcPr>
            <w:tcW w:w="2175" w:type="dxa"/>
          </w:tcPr>
          <w:p w14:paraId="6A6F1C3C" w14:textId="213EAC79" w:rsidR="004E48B8" w:rsidRDefault="004E48B8" w:rsidP="005C197C">
            <w:r>
              <w:t xml:space="preserve">Strongly </w:t>
            </w:r>
            <w:r w:rsidR="00444A64">
              <w:t>Disagree</w:t>
            </w:r>
          </w:p>
        </w:tc>
        <w:tc>
          <w:tcPr>
            <w:tcW w:w="3939" w:type="dxa"/>
          </w:tcPr>
          <w:p w14:paraId="439B2401" w14:textId="6E50C479" w:rsidR="004E48B8" w:rsidRDefault="00144E7E" w:rsidP="005C197C">
            <w:r>
              <w:t>Needs strengthening</w:t>
            </w:r>
            <w:r w:rsidR="00DE1894">
              <w:t>.</w:t>
            </w:r>
            <w:r w:rsidR="00505F01">
              <w:t xml:space="preserve">  </w:t>
            </w:r>
            <w:r w:rsidR="00505F01" w:rsidRPr="00505F01">
              <w:t xml:space="preserve">I request that the policy is strengthened so development is supported only where it delivers a proven net health benefit, and refused </w:t>
            </w:r>
            <w:proofErr w:type="gramStart"/>
            <w:r w:rsidR="00505F01" w:rsidRPr="00505F01">
              <w:t>where</w:t>
            </w:r>
            <w:proofErr w:type="gramEnd"/>
            <w:r w:rsidR="00505F01" w:rsidRPr="00505F01">
              <w:t xml:space="preserve"> air quality, traffic risk or wellbeing harm cannot be avoided or fully mitigated. Under such a requirement, PED1 and SWAN17 would not be compliant and should not be taken forward to Regulation 19.</w:t>
            </w:r>
          </w:p>
        </w:tc>
      </w:tr>
      <w:tr w:rsidR="004E48B8" w14:paraId="33A0F5D6" w14:textId="77777777" w:rsidTr="005C197C">
        <w:trPr>
          <w:cantSplit/>
        </w:trPr>
        <w:tc>
          <w:tcPr>
            <w:tcW w:w="1421" w:type="dxa"/>
            <w:vMerge/>
          </w:tcPr>
          <w:p w14:paraId="58A96F9F" w14:textId="0988AC7D" w:rsidR="004E48B8" w:rsidRDefault="004E48B8" w:rsidP="005C197C"/>
        </w:tc>
        <w:tc>
          <w:tcPr>
            <w:tcW w:w="1645" w:type="dxa"/>
          </w:tcPr>
          <w:p w14:paraId="772BFD60" w14:textId="7D45B1F3" w:rsidR="004E48B8" w:rsidRDefault="00321253" w:rsidP="005C197C">
            <w:r>
              <w:t>HW2</w:t>
            </w:r>
          </w:p>
        </w:tc>
        <w:tc>
          <w:tcPr>
            <w:tcW w:w="2175" w:type="dxa"/>
          </w:tcPr>
          <w:p w14:paraId="6DA44B2D" w14:textId="71851242" w:rsidR="004E48B8" w:rsidRDefault="004E48B8" w:rsidP="005C197C">
            <w:r>
              <w:t xml:space="preserve">Strongly </w:t>
            </w:r>
            <w:r w:rsidR="005D7EE8">
              <w:t>Disagree</w:t>
            </w:r>
          </w:p>
        </w:tc>
        <w:tc>
          <w:tcPr>
            <w:tcW w:w="3939" w:type="dxa"/>
          </w:tcPr>
          <w:p w14:paraId="52E4EE90" w14:textId="2DA7958F" w:rsidR="004E48B8" w:rsidRDefault="00FB1F60" w:rsidP="005C197C">
            <w:r w:rsidRPr="00FB1F60">
              <w:t>While the policy intention is positive, it lacks the necessary safeguards to protect public health, ensure sustainability, and prevent out-of-centre commercial growth. Without clearer refusal criteria, cumulative-impact tests, and stronger prioritisation of existing town centres, this policy risks enabling development in remote, car-dependent locations such as PED1 and SWAN17 — contrary to public interest and long-term health outcomes.</w:t>
            </w:r>
          </w:p>
        </w:tc>
      </w:tr>
      <w:tr w:rsidR="004E48B8" w14:paraId="08A37F1C" w14:textId="77777777" w:rsidTr="005C197C">
        <w:trPr>
          <w:cantSplit/>
        </w:trPr>
        <w:tc>
          <w:tcPr>
            <w:tcW w:w="1421" w:type="dxa"/>
            <w:vMerge/>
          </w:tcPr>
          <w:p w14:paraId="4103DF52" w14:textId="5B4DF573" w:rsidR="004E48B8" w:rsidRDefault="004E48B8" w:rsidP="005C197C"/>
        </w:tc>
        <w:tc>
          <w:tcPr>
            <w:tcW w:w="1645" w:type="dxa"/>
          </w:tcPr>
          <w:p w14:paraId="4C9B18B1" w14:textId="7B830707" w:rsidR="004E48B8" w:rsidRDefault="0046528D" w:rsidP="005C197C">
            <w:r>
              <w:t>AQ</w:t>
            </w:r>
            <w:r w:rsidR="00400A12">
              <w:t>1</w:t>
            </w:r>
          </w:p>
        </w:tc>
        <w:tc>
          <w:tcPr>
            <w:tcW w:w="2175" w:type="dxa"/>
          </w:tcPr>
          <w:p w14:paraId="750F1836" w14:textId="3F1319DB" w:rsidR="004E48B8" w:rsidRDefault="0046528D" w:rsidP="005C197C">
            <w:r>
              <w:t>Strongly Disagree</w:t>
            </w:r>
          </w:p>
        </w:tc>
        <w:tc>
          <w:tcPr>
            <w:tcW w:w="3939" w:type="dxa"/>
          </w:tcPr>
          <w:p w14:paraId="75503AB0" w14:textId="77777777" w:rsidR="00670C2F" w:rsidRDefault="004E48B8" w:rsidP="005C197C">
            <w:r>
              <w:t>Air/noise/medical capacity impacts severe.</w:t>
            </w:r>
          </w:p>
          <w:p w14:paraId="1EA0165F" w14:textId="77777777" w:rsidR="00D0616A" w:rsidRDefault="00D0616A" w:rsidP="00D0616A">
            <w:r>
              <w:t xml:space="preserve">Add to policy: </w:t>
            </w:r>
            <w:r>
              <w:t>Mandatory baseline monitoring over 12–24 months</w:t>
            </w:r>
          </w:p>
          <w:p w14:paraId="7E86FA1F" w14:textId="77777777" w:rsidR="00D0616A" w:rsidRDefault="00D0616A" w:rsidP="00D0616A">
            <w:r>
              <w:t>Consideration of peak-event traffic (stadium/arena-use)</w:t>
            </w:r>
          </w:p>
          <w:p w14:paraId="1B367FA2" w14:textId="77777777" w:rsidR="00D0616A" w:rsidRDefault="00D0616A" w:rsidP="00D0616A">
            <w:r>
              <w:t>Health outcome modelling for children &amp; vulnerable groups</w:t>
            </w:r>
          </w:p>
          <w:p w14:paraId="5F20CE9E" w14:textId="39D3AC0C" w:rsidR="004E48B8" w:rsidRDefault="00D0616A" w:rsidP="005C197C">
            <w:r>
              <w:t>Assessment of pollution drift to settlements downwind</w:t>
            </w:r>
          </w:p>
        </w:tc>
      </w:tr>
      <w:tr w:rsidR="004E48B8" w14:paraId="40187DAD" w14:textId="77777777" w:rsidTr="003041DF">
        <w:trPr>
          <w:cantSplit/>
        </w:trPr>
        <w:tc>
          <w:tcPr>
            <w:tcW w:w="1421" w:type="dxa"/>
            <w:vMerge/>
          </w:tcPr>
          <w:p w14:paraId="531EA203" w14:textId="58CE25E7" w:rsidR="004E48B8" w:rsidRDefault="004E48B8" w:rsidP="005C197C"/>
        </w:tc>
        <w:tc>
          <w:tcPr>
            <w:tcW w:w="1645" w:type="dxa"/>
          </w:tcPr>
          <w:p w14:paraId="593A328B" w14:textId="6AC2AC26" w:rsidR="004E48B8" w:rsidRDefault="005C6833" w:rsidP="005C197C">
            <w:r>
              <w:t>HW3</w:t>
            </w:r>
          </w:p>
        </w:tc>
        <w:tc>
          <w:tcPr>
            <w:tcW w:w="2175" w:type="dxa"/>
          </w:tcPr>
          <w:p w14:paraId="28B1D617" w14:textId="5E0BB272" w:rsidR="004E48B8" w:rsidRDefault="007310C9" w:rsidP="005C197C">
            <w:r>
              <w:t>Strongly disagree</w:t>
            </w:r>
          </w:p>
        </w:tc>
        <w:tc>
          <w:tcPr>
            <w:tcW w:w="3939" w:type="dxa"/>
          </w:tcPr>
          <w:p w14:paraId="718F15F3" w14:textId="77777777" w:rsidR="00E90A50" w:rsidRDefault="00E90A50" w:rsidP="00E90A50">
            <w:r>
              <w:t>I request that Policy HW3 be strengthened to require evidence-based assurance that development does not cause significant or cumulative pollution or amenity harm.</w:t>
            </w:r>
          </w:p>
          <w:p w14:paraId="496EF0CB" w14:textId="4859A2D9" w:rsidR="004E48B8" w:rsidRDefault="00E90A50" w:rsidP="00E90A50">
            <w:r>
              <w:t>For reasons of public health, wellbeing, rural character and pollution exposure, HW3 must require refusal where uncertainty or risk remains.</w:t>
            </w:r>
          </w:p>
        </w:tc>
      </w:tr>
      <w:tr w:rsidR="00141E76" w14:paraId="52CF403D" w14:textId="77777777" w:rsidTr="005C197C">
        <w:trPr>
          <w:cantSplit/>
        </w:trPr>
        <w:tc>
          <w:tcPr>
            <w:tcW w:w="1421" w:type="dxa"/>
            <w:vMerge w:val="restart"/>
          </w:tcPr>
          <w:p w14:paraId="155E5C8B" w14:textId="4F225E82" w:rsidR="00141E76" w:rsidRDefault="00141E76" w:rsidP="00141E76">
            <w:r>
              <w:t>Ch7</w:t>
            </w:r>
            <w:r>
              <w:t xml:space="preserve"> -Historic Environment</w:t>
            </w:r>
          </w:p>
        </w:tc>
        <w:tc>
          <w:tcPr>
            <w:tcW w:w="1645" w:type="dxa"/>
          </w:tcPr>
          <w:p w14:paraId="601108F3" w14:textId="0C42AE53" w:rsidR="00141E76" w:rsidRDefault="00141E76" w:rsidP="00141E76">
            <w:r>
              <w:t>HEN1</w:t>
            </w:r>
          </w:p>
        </w:tc>
        <w:tc>
          <w:tcPr>
            <w:tcW w:w="2175" w:type="dxa"/>
          </w:tcPr>
          <w:p w14:paraId="089144EC" w14:textId="0F873570" w:rsidR="00141E76" w:rsidRDefault="00141E76" w:rsidP="00141E76">
            <w:r>
              <w:t xml:space="preserve">Strongly </w:t>
            </w:r>
            <w:r>
              <w:t>Disagree</w:t>
            </w:r>
          </w:p>
        </w:tc>
        <w:tc>
          <w:tcPr>
            <w:tcW w:w="3939" w:type="dxa"/>
          </w:tcPr>
          <w:p w14:paraId="480DC1C3" w14:textId="55A0527B" w:rsidR="00141E76" w:rsidRDefault="00141E76" w:rsidP="00141E76">
            <w:r>
              <w:t>Harm to Eynsford Historic Town setting — irreversible.</w:t>
            </w:r>
          </w:p>
        </w:tc>
      </w:tr>
      <w:tr w:rsidR="00141E76" w14:paraId="377332C5" w14:textId="77777777" w:rsidTr="003041DF">
        <w:trPr>
          <w:cantSplit/>
        </w:trPr>
        <w:tc>
          <w:tcPr>
            <w:tcW w:w="1421" w:type="dxa"/>
            <w:vMerge/>
          </w:tcPr>
          <w:p w14:paraId="069A3F33" w14:textId="36B34EF3" w:rsidR="00141E76" w:rsidRDefault="00141E76" w:rsidP="00141E76"/>
        </w:tc>
        <w:tc>
          <w:tcPr>
            <w:tcW w:w="1645" w:type="dxa"/>
          </w:tcPr>
          <w:p w14:paraId="667749D6" w14:textId="6598500C" w:rsidR="00141E76" w:rsidRDefault="00141E76" w:rsidP="00141E76">
            <w:r>
              <w:t>HEN2</w:t>
            </w:r>
          </w:p>
        </w:tc>
        <w:tc>
          <w:tcPr>
            <w:tcW w:w="2175" w:type="dxa"/>
          </w:tcPr>
          <w:p w14:paraId="09588D6F" w14:textId="7C341B50" w:rsidR="00141E76" w:rsidRDefault="00141E76" w:rsidP="00141E76">
            <w:r>
              <w:t xml:space="preserve">Strongly </w:t>
            </w:r>
            <w:r>
              <w:t>Disagree</w:t>
            </w:r>
          </w:p>
        </w:tc>
        <w:tc>
          <w:tcPr>
            <w:tcW w:w="3939" w:type="dxa"/>
          </w:tcPr>
          <w:p w14:paraId="25368403" w14:textId="4B69E4AA" w:rsidR="00141E76" w:rsidRDefault="00141E76" w:rsidP="00141E76">
            <w:r>
              <w:t>Harm to Eynsford Historic Town setting — irreversible.</w:t>
            </w:r>
          </w:p>
        </w:tc>
      </w:tr>
      <w:tr w:rsidR="00141E76" w14:paraId="029EF588" w14:textId="77777777" w:rsidTr="005C197C">
        <w:trPr>
          <w:cantSplit/>
        </w:trPr>
        <w:tc>
          <w:tcPr>
            <w:tcW w:w="1421" w:type="dxa"/>
            <w:vMerge/>
          </w:tcPr>
          <w:p w14:paraId="4761488B" w14:textId="17E89300" w:rsidR="00141E76" w:rsidRDefault="00141E76" w:rsidP="00141E76"/>
        </w:tc>
        <w:tc>
          <w:tcPr>
            <w:tcW w:w="1645" w:type="dxa"/>
          </w:tcPr>
          <w:p w14:paraId="7A28E5FE" w14:textId="0663752A" w:rsidR="00141E76" w:rsidRDefault="00141E76" w:rsidP="00141E76">
            <w:r>
              <w:t>HEN</w:t>
            </w:r>
            <w:r>
              <w:t>3</w:t>
            </w:r>
          </w:p>
        </w:tc>
        <w:tc>
          <w:tcPr>
            <w:tcW w:w="2175" w:type="dxa"/>
          </w:tcPr>
          <w:p w14:paraId="0E0C37E3" w14:textId="64C3B4EC" w:rsidR="00141E76" w:rsidRDefault="00141E76" w:rsidP="00141E76">
            <w:r>
              <w:t xml:space="preserve">Strongly </w:t>
            </w:r>
            <w:r>
              <w:t>Disagree</w:t>
            </w:r>
          </w:p>
        </w:tc>
        <w:tc>
          <w:tcPr>
            <w:tcW w:w="3939" w:type="dxa"/>
          </w:tcPr>
          <w:p w14:paraId="05C8C7A0" w14:textId="6F0BE5DB" w:rsidR="00141E76" w:rsidRDefault="00141E76" w:rsidP="00141E76">
            <w:r>
              <w:t>Harm to Eynsford Historic Town setting — irreversible.</w:t>
            </w:r>
          </w:p>
        </w:tc>
      </w:tr>
      <w:tr w:rsidR="00141E76" w14:paraId="41D578D8" w14:textId="77777777" w:rsidTr="005C197C">
        <w:trPr>
          <w:cantSplit/>
        </w:trPr>
        <w:tc>
          <w:tcPr>
            <w:tcW w:w="1421" w:type="dxa"/>
            <w:vMerge/>
          </w:tcPr>
          <w:p w14:paraId="273E22EC" w14:textId="505C2EDB" w:rsidR="00141E76" w:rsidRDefault="00141E76" w:rsidP="00141E76"/>
        </w:tc>
        <w:tc>
          <w:tcPr>
            <w:tcW w:w="1645" w:type="dxa"/>
          </w:tcPr>
          <w:p w14:paraId="15CE7A47" w14:textId="006BD344" w:rsidR="00141E76" w:rsidRDefault="00141E76" w:rsidP="00141E76">
            <w:r>
              <w:t>HEN</w:t>
            </w:r>
            <w:r>
              <w:t>4</w:t>
            </w:r>
          </w:p>
        </w:tc>
        <w:tc>
          <w:tcPr>
            <w:tcW w:w="2175" w:type="dxa"/>
          </w:tcPr>
          <w:p w14:paraId="2D35A54D" w14:textId="715819B2" w:rsidR="00141E76" w:rsidRDefault="00141E76" w:rsidP="00141E76">
            <w:r>
              <w:t xml:space="preserve">Strongly </w:t>
            </w:r>
            <w:r>
              <w:t>Disagree</w:t>
            </w:r>
          </w:p>
        </w:tc>
        <w:tc>
          <w:tcPr>
            <w:tcW w:w="3939" w:type="dxa"/>
          </w:tcPr>
          <w:p w14:paraId="7E133497" w14:textId="4E3C61B8" w:rsidR="00141E76" w:rsidRDefault="00141E76" w:rsidP="00141E76">
            <w:r>
              <w:t>Harm to Eynsford Historic Town setting — irreversible.</w:t>
            </w:r>
          </w:p>
        </w:tc>
      </w:tr>
      <w:tr w:rsidR="00141E76" w14:paraId="43D48E24" w14:textId="77777777" w:rsidTr="005C197C">
        <w:trPr>
          <w:cantSplit/>
        </w:trPr>
        <w:tc>
          <w:tcPr>
            <w:tcW w:w="1421" w:type="dxa"/>
            <w:vMerge/>
          </w:tcPr>
          <w:p w14:paraId="3589D734" w14:textId="7B7E68D0" w:rsidR="00141E76" w:rsidRDefault="00141E76" w:rsidP="00141E76"/>
        </w:tc>
        <w:tc>
          <w:tcPr>
            <w:tcW w:w="1645" w:type="dxa"/>
          </w:tcPr>
          <w:p w14:paraId="0411AC7A" w14:textId="74A1C658" w:rsidR="00141E76" w:rsidRDefault="00141E76" w:rsidP="00141E76">
            <w:r>
              <w:t>HEN</w:t>
            </w:r>
            <w:r>
              <w:t>5</w:t>
            </w:r>
          </w:p>
        </w:tc>
        <w:tc>
          <w:tcPr>
            <w:tcW w:w="2175" w:type="dxa"/>
          </w:tcPr>
          <w:p w14:paraId="35127BD8" w14:textId="387C64C9" w:rsidR="00141E76" w:rsidRDefault="00141E76" w:rsidP="00141E76">
            <w:r>
              <w:t xml:space="preserve">Strongly </w:t>
            </w:r>
            <w:r>
              <w:t>Disagree</w:t>
            </w:r>
          </w:p>
        </w:tc>
        <w:tc>
          <w:tcPr>
            <w:tcW w:w="3939" w:type="dxa"/>
          </w:tcPr>
          <w:p w14:paraId="2125D7CD" w14:textId="1B47E83A" w:rsidR="00141E76" w:rsidRDefault="00141E76" w:rsidP="00141E76">
            <w:r>
              <w:t>Harm to Eynsford Historic Town setting — irreversible.</w:t>
            </w:r>
          </w:p>
        </w:tc>
      </w:tr>
      <w:tr w:rsidR="00141E76" w14:paraId="4EBA6EFD" w14:textId="77777777" w:rsidTr="005C197C">
        <w:trPr>
          <w:cantSplit/>
        </w:trPr>
        <w:tc>
          <w:tcPr>
            <w:tcW w:w="1421" w:type="dxa"/>
            <w:vMerge/>
          </w:tcPr>
          <w:p w14:paraId="4C5DDD89" w14:textId="3B87EAED" w:rsidR="00141E76" w:rsidRDefault="00141E76" w:rsidP="00141E76"/>
        </w:tc>
        <w:tc>
          <w:tcPr>
            <w:tcW w:w="1645" w:type="dxa"/>
          </w:tcPr>
          <w:p w14:paraId="48089E2C" w14:textId="127C14A6" w:rsidR="00141E76" w:rsidRDefault="00141E76" w:rsidP="00141E76">
            <w:r>
              <w:t>HEN</w:t>
            </w:r>
            <w:r>
              <w:t>6</w:t>
            </w:r>
          </w:p>
        </w:tc>
        <w:tc>
          <w:tcPr>
            <w:tcW w:w="2175" w:type="dxa"/>
          </w:tcPr>
          <w:p w14:paraId="0DA8C9D1" w14:textId="630540F0" w:rsidR="00141E76" w:rsidRDefault="00141E76" w:rsidP="00141E76">
            <w:r>
              <w:t xml:space="preserve">Strongly </w:t>
            </w:r>
            <w:r>
              <w:t>Disagree</w:t>
            </w:r>
          </w:p>
        </w:tc>
        <w:tc>
          <w:tcPr>
            <w:tcW w:w="3939" w:type="dxa"/>
          </w:tcPr>
          <w:p w14:paraId="1F530383" w14:textId="7628CB5B" w:rsidR="00141E76" w:rsidRDefault="00141E76" w:rsidP="00141E76">
            <w:r>
              <w:t xml:space="preserve">Harm to Eynsford </w:t>
            </w:r>
            <w:r>
              <w:t xml:space="preserve">Historic Town </w:t>
            </w:r>
            <w:r>
              <w:t>setting — irreversible.</w:t>
            </w:r>
          </w:p>
        </w:tc>
      </w:tr>
      <w:tr w:rsidR="00141E76" w14:paraId="7370AE17" w14:textId="77777777" w:rsidTr="005C197C">
        <w:trPr>
          <w:cantSplit/>
        </w:trPr>
        <w:tc>
          <w:tcPr>
            <w:tcW w:w="1421" w:type="dxa"/>
            <w:vMerge/>
          </w:tcPr>
          <w:p w14:paraId="6140B4CD" w14:textId="684C4735" w:rsidR="00141E76" w:rsidRDefault="00141E76" w:rsidP="00141E76"/>
        </w:tc>
        <w:tc>
          <w:tcPr>
            <w:tcW w:w="1645" w:type="dxa"/>
          </w:tcPr>
          <w:p w14:paraId="0A6514F6" w14:textId="174E6CDE" w:rsidR="00141E76" w:rsidRDefault="00141E76" w:rsidP="00141E76">
            <w:r>
              <w:t>HEN</w:t>
            </w:r>
            <w:r>
              <w:t>7</w:t>
            </w:r>
          </w:p>
        </w:tc>
        <w:tc>
          <w:tcPr>
            <w:tcW w:w="2175" w:type="dxa"/>
          </w:tcPr>
          <w:p w14:paraId="62E1D7D7" w14:textId="74FACD65" w:rsidR="00141E76" w:rsidRDefault="00141E76" w:rsidP="00141E76">
            <w:r>
              <w:t xml:space="preserve">Strongly </w:t>
            </w:r>
            <w:r>
              <w:t>Disagree</w:t>
            </w:r>
          </w:p>
        </w:tc>
        <w:tc>
          <w:tcPr>
            <w:tcW w:w="3939" w:type="dxa"/>
          </w:tcPr>
          <w:p w14:paraId="0D222EF9" w14:textId="2FD35672" w:rsidR="00141E76" w:rsidRDefault="00141E76" w:rsidP="00141E76">
            <w:r>
              <w:t>Harm to Eynsford Historic Town setting — irreversible.</w:t>
            </w:r>
          </w:p>
        </w:tc>
      </w:tr>
      <w:tr w:rsidR="00141E76" w14:paraId="73027405" w14:textId="77777777" w:rsidTr="003041DF">
        <w:trPr>
          <w:cantSplit/>
        </w:trPr>
        <w:tc>
          <w:tcPr>
            <w:tcW w:w="1421" w:type="dxa"/>
          </w:tcPr>
          <w:p w14:paraId="596F7493" w14:textId="77777777" w:rsidR="00141E76" w:rsidRDefault="00141E76" w:rsidP="00141E76">
            <w:r>
              <w:lastRenderedPageBreak/>
              <w:t>Ch8</w:t>
            </w:r>
          </w:p>
        </w:tc>
        <w:tc>
          <w:tcPr>
            <w:tcW w:w="1645" w:type="dxa"/>
          </w:tcPr>
          <w:p w14:paraId="23D81068" w14:textId="77777777" w:rsidR="00141E76" w:rsidRDefault="00141E76" w:rsidP="00141E76">
            <w:r>
              <w:t>NE1/BW1/AF1</w:t>
            </w:r>
          </w:p>
        </w:tc>
        <w:tc>
          <w:tcPr>
            <w:tcW w:w="2175" w:type="dxa"/>
          </w:tcPr>
          <w:p w14:paraId="32FA39ED" w14:textId="77777777" w:rsidR="00141E76" w:rsidRDefault="00141E76" w:rsidP="00141E76">
            <w:r>
              <w:t>Strongly Agree</w:t>
            </w:r>
          </w:p>
        </w:tc>
        <w:tc>
          <w:tcPr>
            <w:tcW w:w="3939" w:type="dxa"/>
          </w:tcPr>
          <w:p w14:paraId="448D1243" w14:textId="77777777" w:rsidR="00141E76" w:rsidRDefault="00141E76" w:rsidP="00141E76">
            <w:r>
              <w:t>Protected landscape + biodiversity harms.</w:t>
            </w:r>
          </w:p>
        </w:tc>
      </w:tr>
      <w:tr w:rsidR="00141E76" w14:paraId="3FF2205E" w14:textId="77777777" w:rsidTr="003041DF">
        <w:trPr>
          <w:cantSplit/>
        </w:trPr>
        <w:tc>
          <w:tcPr>
            <w:tcW w:w="1421" w:type="dxa"/>
          </w:tcPr>
          <w:p w14:paraId="4029E24C" w14:textId="77777777" w:rsidR="00141E76" w:rsidRDefault="00141E76" w:rsidP="00141E76">
            <w:r>
              <w:t>Ch8</w:t>
            </w:r>
          </w:p>
        </w:tc>
        <w:tc>
          <w:tcPr>
            <w:tcW w:w="1645" w:type="dxa"/>
          </w:tcPr>
          <w:p w14:paraId="21DB4877" w14:textId="77777777" w:rsidR="00141E76" w:rsidRDefault="00141E76" w:rsidP="00141E76">
            <w:r>
              <w:t>BW2</w:t>
            </w:r>
          </w:p>
        </w:tc>
        <w:tc>
          <w:tcPr>
            <w:tcW w:w="2175" w:type="dxa"/>
          </w:tcPr>
          <w:p w14:paraId="7477C250" w14:textId="7E88FAE1" w:rsidR="00141E76" w:rsidRDefault="00141E76" w:rsidP="00141E76">
            <w:r>
              <w:t xml:space="preserve">Strongly Disagree - </w:t>
            </w:r>
            <w:r>
              <w:t>Raise to 20%</w:t>
            </w:r>
          </w:p>
        </w:tc>
        <w:tc>
          <w:tcPr>
            <w:tcW w:w="3939" w:type="dxa"/>
          </w:tcPr>
          <w:p w14:paraId="31666309" w14:textId="77777777" w:rsidR="00141E76" w:rsidRDefault="00141E76" w:rsidP="00141E76">
            <w:r>
              <w:t>BNG reduction weakens ecology protection.</w:t>
            </w:r>
          </w:p>
        </w:tc>
      </w:tr>
      <w:tr w:rsidR="00141E76" w14:paraId="5E938716" w14:textId="77777777" w:rsidTr="003041DF">
        <w:trPr>
          <w:cantSplit/>
        </w:trPr>
        <w:tc>
          <w:tcPr>
            <w:tcW w:w="1421" w:type="dxa"/>
            <w:vMerge w:val="restart"/>
          </w:tcPr>
          <w:p w14:paraId="46D096A8" w14:textId="3FB23D4B" w:rsidR="00141E76" w:rsidRDefault="00141E76" w:rsidP="00141E76">
            <w:r>
              <w:t>Ch9</w:t>
            </w:r>
          </w:p>
        </w:tc>
        <w:tc>
          <w:tcPr>
            <w:tcW w:w="1645" w:type="dxa"/>
          </w:tcPr>
          <w:p w14:paraId="4B308312" w14:textId="13D72D2B" w:rsidR="00141E76" w:rsidRDefault="00141E76" w:rsidP="00141E76">
            <w:r>
              <w:t>IN1</w:t>
            </w:r>
          </w:p>
        </w:tc>
        <w:tc>
          <w:tcPr>
            <w:tcW w:w="2175" w:type="dxa"/>
          </w:tcPr>
          <w:p w14:paraId="1F2133CA" w14:textId="47F1A744" w:rsidR="00141E76" w:rsidRDefault="00141E76" w:rsidP="00141E76">
            <w:r>
              <w:t>disagree to get amended</w:t>
            </w:r>
          </w:p>
        </w:tc>
        <w:tc>
          <w:tcPr>
            <w:tcW w:w="3939" w:type="dxa"/>
          </w:tcPr>
          <w:p w14:paraId="57CC9596" w14:textId="15A4552B" w:rsidR="00141E76" w:rsidRDefault="00141E76" w:rsidP="00141E76">
            <w:r>
              <w:t>Requires strengthening with fully funded, deliverable, and secured upfront to avoid viability arguments.</w:t>
            </w:r>
          </w:p>
        </w:tc>
      </w:tr>
      <w:tr w:rsidR="00141E76" w14:paraId="4F84F82A" w14:textId="77777777" w:rsidTr="003041DF">
        <w:trPr>
          <w:cantSplit/>
        </w:trPr>
        <w:tc>
          <w:tcPr>
            <w:tcW w:w="1421" w:type="dxa"/>
            <w:vMerge/>
          </w:tcPr>
          <w:p w14:paraId="60B9861C" w14:textId="77777777" w:rsidR="00141E76" w:rsidRDefault="00141E76" w:rsidP="00141E76"/>
        </w:tc>
        <w:tc>
          <w:tcPr>
            <w:tcW w:w="1645" w:type="dxa"/>
          </w:tcPr>
          <w:p w14:paraId="485AD296" w14:textId="0AC6AF91" w:rsidR="00141E76" w:rsidRDefault="00141E76" w:rsidP="00141E76">
            <w:r>
              <w:t>OS1</w:t>
            </w:r>
          </w:p>
        </w:tc>
        <w:tc>
          <w:tcPr>
            <w:tcW w:w="2175" w:type="dxa"/>
          </w:tcPr>
          <w:p w14:paraId="5F4DAC57" w14:textId="5991E337" w:rsidR="00141E76" w:rsidRDefault="00141E76" w:rsidP="00141E76">
            <w:proofErr w:type="gramStart"/>
            <w:r>
              <w:t>Disagree  –</w:t>
            </w:r>
            <w:proofErr w:type="gramEnd"/>
            <w:r>
              <w:t xml:space="preserve"> Tighten</w:t>
            </w:r>
          </w:p>
        </w:tc>
        <w:tc>
          <w:tcPr>
            <w:tcW w:w="3939" w:type="dxa"/>
          </w:tcPr>
          <w:p w14:paraId="41D97C5E" w14:textId="3E84A37A" w:rsidR="00141E76" w:rsidRPr="00610E09" w:rsidRDefault="00141E76" w:rsidP="00141E76">
            <w:pPr>
              <w:rPr>
                <w:i/>
                <w:iCs/>
              </w:rPr>
            </w:pPr>
            <w:r w:rsidRPr="00F26CE5">
              <w:rPr>
                <w:i/>
                <w:iCs/>
              </w:rPr>
              <w:t>Policy is directionally positive but too permissive without net-loss tests. You are not opposing open space protection — you are asking for it to be stronger and evidence-led.</w:t>
            </w:r>
          </w:p>
        </w:tc>
      </w:tr>
      <w:tr w:rsidR="00141E76" w14:paraId="795E2942" w14:textId="77777777" w:rsidTr="003041DF">
        <w:trPr>
          <w:cantSplit/>
        </w:trPr>
        <w:tc>
          <w:tcPr>
            <w:tcW w:w="1421" w:type="dxa"/>
            <w:vMerge/>
          </w:tcPr>
          <w:p w14:paraId="79D3B87D" w14:textId="77777777" w:rsidR="00141E76" w:rsidRDefault="00141E76" w:rsidP="00141E76"/>
        </w:tc>
        <w:tc>
          <w:tcPr>
            <w:tcW w:w="1645" w:type="dxa"/>
          </w:tcPr>
          <w:p w14:paraId="4A598334" w14:textId="3852A0C1" w:rsidR="00141E76" w:rsidRDefault="00141E76" w:rsidP="00141E76">
            <w:r>
              <w:t>OS2</w:t>
            </w:r>
          </w:p>
        </w:tc>
        <w:tc>
          <w:tcPr>
            <w:tcW w:w="2175" w:type="dxa"/>
          </w:tcPr>
          <w:p w14:paraId="670B3C07" w14:textId="3790BDD5" w:rsidR="00141E76" w:rsidRDefault="00141E76" w:rsidP="00141E76">
            <w:r>
              <w:t>Strongly disagree</w:t>
            </w:r>
          </w:p>
        </w:tc>
        <w:tc>
          <w:tcPr>
            <w:tcW w:w="3939" w:type="dxa"/>
          </w:tcPr>
          <w:p w14:paraId="350AC617" w14:textId="68555DF7" w:rsidR="00141E76" w:rsidRPr="00610E09" w:rsidRDefault="00141E76" w:rsidP="00141E76">
            <w:pPr>
              <w:rPr>
                <w:i/>
                <w:iCs/>
              </w:rPr>
            </w:pPr>
            <w:r>
              <w:rPr>
                <w:i/>
                <w:iCs/>
              </w:rPr>
              <w:t>Current drafting too flexible and weakens community infrastructure protection, enabling unsuitable large-scale sites.</w:t>
            </w:r>
          </w:p>
        </w:tc>
      </w:tr>
      <w:tr w:rsidR="00141E76" w14:paraId="34D76406" w14:textId="77777777" w:rsidTr="003041DF">
        <w:trPr>
          <w:cantSplit/>
        </w:trPr>
        <w:tc>
          <w:tcPr>
            <w:tcW w:w="1421" w:type="dxa"/>
            <w:vMerge/>
          </w:tcPr>
          <w:p w14:paraId="0808884D" w14:textId="276F559A" w:rsidR="00141E76" w:rsidRDefault="00141E76" w:rsidP="00141E76"/>
        </w:tc>
        <w:tc>
          <w:tcPr>
            <w:tcW w:w="1645" w:type="dxa"/>
          </w:tcPr>
          <w:p w14:paraId="4A61A9A5" w14:textId="6C9632C0" w:rsidR="00141E76" w:rsidRDefault="00141E76" w:rsidP="00141E76">
            <w:r>
              <w:t>ED1</w:t>
            </w:r>
          </w:p>
        </w:tc>
        <w:tc>
          <w:tcPr>
            <w:tcW w:w="2175" w:type="dxa"/>
          </w:tcPr>
          <w:p w14:paraId="1FB60596" w14:textId="57C8F9A3" w:rsidR="00141E76" w:rsidRDefault="00141E76" w:rsidP="00141E76">
            <w:r>
              <w:t>Disagree unless strengthened</w:t>
            </w:r>
          </w:p>
        </w:tc>
        <w:tc>
          <w:tcPr>
            <w:tcW w:w="3939" w:type="dxa"/>
          </w:tcPr>
          <w:p w14:paraId="25011034" w14:textId="780E19C6" w:rsidR="00141E76" w:rsidRDefault="00141E76" w:rsidP="00141E76">
            <w:r w:rsidRPr="00610E09">
              <w:rPr>
                <w:i/>
                <w:iCs/>
              </w:rPr>
              <w:t xml:space="preserve">ED1 must be strengthened to meet NPPF 2025 soundness tests of deliverability and justification. </w:t>
            </w:r>
          </w:p>
        </w:tc>
      </w:tr>
      <w:tr w:rsidR="00141E76" w14:paraId="117BF187" w14:textId="77777777" w:rsidTr="003041DF">
        <w:trPr>
          <w:cantSplit/>
        </w:trPr>
        <w:tc>
          <w:tcPr>
            <w:tcW w:w="1421" w:type="dxa"/>
            <w:vMerge/>
          </w:tcPr>
          <w:p w14:paraId="5CB250E6" w14:textId="421AD526" w:rsidR="00141E76" w:rsidRDefault="00141E76" w:rsidP="00141E76"/>
        </w:tc>
        <w:tc>
          <w:tcPr>
            <w:tcW w:w="1645" w:type="dxa"/>
          </w:tcPr>
          <w:p w14:paraId="3FD675B3" w14:textId="77777777" w:rsidR="00141E76" w:rsidRDefault="00141E76" w:rsidP="00141E76">
            <w:r>
              <w:t>SL1</w:t>
            </w:r>
          </w:p>
        </w:tc>
        <w:tc>
          <w:tcPr>
            <w:tcW w:w="2175" w:type="dxa"/>
          </w:tcPr>
          <w:p w14:paraId="216E2E51" w14:textId="77777777" w:rsidR="00141E76" w:rsidRDefault="00141E76" w:rsidP="00141E76">
            <w:r>
              <w:t>Strongly Disagree</w:t>
            </w:r>
          </w:p>
        </w:tc>
        <w:tc>
          <w:tcPr>
            <w:tcW w:w="3939" w:type="dxa"/>
          </w:tcPr>
          <w:p w14:paraId="1AF3AE8C" w14:textId="77777777" w:rsidR="00141E76" w:rsidRDefault="00141E76" w:rsidP="00141E76">
            <w:r>
              <w:t>Enables stadium cluster — must require separate consultation.</w:t>
            </w:r>
          </w:p>
        </w:tc>
      </w:tr>
      <w:tr w:rsidR="00141E76" w14:paraId="577F803B" w14:textId="77777777" w:rsidTr="003041DF">
        <w:trPr>
          <w:cantSplit/>
        </w:trPr>
        <w:tc>
          <w:tcPr>
            <w:tcW w:w="1421" w:type="dxa"/>
            <w:vMerge/>
          </w:tcPr>
          <w:p w14:paraId="5AED7227" w14:textId="720AD4FA" w:rsidR="00141E76" w:rsidRDefault="00141E76" w:rsidP="00141E76"/>
        </w:tc>
        <w:tc>
          <w:tcPr>
            <w:tcW w:w="1645" w:type="dxa"/>
          </w:tcPr>
          <w:p w14:paraId="62411F27" w14:textId="77777777" w:rsidR="00141E76" w:rsidRDefault="00141E76" w:rsidP="00141E76">
            <w:r>
              <w:t>COM1/COM2</w:t>
            </w:r>
          </w:p>
        </w:tc>
        <w:tc>
          <w:tcPr>
            <w:tcW w:w="2175" w:type="dxa"/>
          </w:tcPr>
          <w:p w14:paraId="775504F7" w14:textId="5BB9E5FE" w:rsidR="00141E76" w:rsidRDefault="00141E76" w:rsidP="00141E76">
            <w:r>
              <w:t xml:space="preserve">Disagree </w:t>
            </w:r>
            <w:r>
              <w:t>– Amend</w:t>
            </w:r>
          </w:p>
        </w:tc>
        <w:tc>
          <w:tcPr>
            <w:tcW w:w="3939" w:type="dxa"/>
          </w:tcPr>
          <w:p w14:paraId="13AC63DB" w14:textId="595A77CE" w:rsidR="00141E76" w:rsidRDefault="00141E76" w:rsidP="00141E76">
            <w:r>
              <w:t>Policy requires strengthening to be sound and p</w:t>
            </w:r>
            <w:r>
              <w:t>rotect local provision long</w:t>
            </w:r>
            <w:r>
              <w:rPr>
                <w:rFonts w:ascii="Cambria Math" w:hAnsi="Cambria Math" w:cs="Cambria Math"/>
              </w:rPr>
              <w:t>‑</w:t>
            </w:r>
            <w:r>
              <w:t>term.</w:t>
            </w:r>
          </w:p>
        </w:tc>
      </w:tr>
      <w:tr w:rsidR="00141E76" w14:paraId="6AF50818" w14:textId="77777777" w:rsidTr="003041DF">
        <w:trPr>
          <w:cantSplit/>
        </w:trPr>
        <w:tc>
          <w:tcPr>
            <w:tcW w:w="1421" w:type="dxa"/>
            <w:vMerge/>
          </w:tcPr>
          <w:p w14:paraId="51672FB3" w14:textId="7AB6D0AB" w:rsidR="00141E76" w:rsidRDefault="00141E76" w:rsidP="00141E76"/>
        </w:tc>
        <w:tc>
          <w:tcPr>
            <w:tcW w:w="1645" w:type="dxa"/>
          </w:tcPr>
          <w:p w14:paraId="7E9DBED0" w14:textId="77777777" w:rsidR="00141E76" w:rsidRDefault="00141E76" w:rsidP="00141E76">
            <w:r>
              <w:t>UD1</w:t>
            </w:r>
          </w:p>
        </w:tc>
        <w:tc>
          <w:tcPr>
            <w:tcW w:w="2175" w:type="dxa"/>
          </w:tcPr>
          <w:p w14:paraId="04AE3B23" w14:textId="34666CF9" w:rsidR="00141E76" w:rsidRDefault="00141E76" w:rsidP="00141E76">
            <w:r>
              <w:t>Strongly disagree</w:t>
            </w:r>
          </w:p>
        </w:tc>
        <w:tc>
          <w:tcPr>
            <w:tcW w:w="3939" w:type="dxa"/>
          </w:tcPr>
          <w:p w14:paraId="2B1F4DB6" w14:textId="27DA1864" w:rsidR="00141E76" w:rsidRDefault="00141E76" w:rsidP="00141E76">
            <w:r>
              <w:t xml:space="preserve">Add </w:t>
            </w:r>
            <w:r>
              <w:t>Funding proof required before allocation.</w:t>
            </w:r>
          </w:p>
        </w:tc>
      </w:tr>
      <w:tr w:rsidR="00141E76" w14:paraId="6D897E12" w14:textId="77777777" w:rsidTr="003041DF">
        <w:trPr>
          <w:cantSplit/>
        </w:trPr>
        <w:tc>
          <w:tcPr>
            <w:tcW w:w="1421" w:type="dxa"/>
          </w:tcPr>
          <w:p w14:paraId="55447DC6" w14:textId="77777777" w:rsidR="00141E76" w:rsidRDefault="00141E76" w:rsidP="00141E76">
            <w:r>
              <w:t>Ch10</w:t>
            </w:r>
          </w:p>
        </w:tc>
        <w:tc>
          <w:tcPr>
            <w:tcW w:w="1645" w:type="dxa"/>
          </w:tcPr>
          <w:p w14:paraId="3F99F4EA" w14:textId="77777777" w:rsidR="00141E76" w:rsidRDefault="00141E76" w:rsidP="00141E76">
            <w:r>
              <w:t>T1–T4</w:t>
            </w:r>
          </w:p>
        </w:tc>
        <w:tc>
          <w:tcPr>
            <w:tcW w:w="2175" w:type="dxa"/>
          </w:tcPr>
          <w:p w14:paraId="105582A3" w14:textId="77777777" w:rsidR="00141E76" w:rsidRDefault="00141E76" w:rsidP="00141E76">
            <w:r>
              <w:t>Strongly Agree</w:t>
            </w:r>
          </w:p>
        </w:tc>
        <w:tc>
          <w:tcPr>
            <w:tcW w:w="3939" w:type="dxa"/>
          </w:tcPr>
          <w:p w14:paraId="3B816196" w14:textId="77777777" w:rsidR="00141E76" w:rsidRDefault="00141E76" w:rsidP="00141E76">
            <w:r>
              <w:t>Transport modelling missing → unsafe uplift.</w:t>
            </w:r>
          </w:p>
        </w:tc>
      </w:tr>
    </w:tbl>
    <w:p w14:paraId="6C201C77" w14:textId="77777777" w:rsidR="00D227A4" w:rsidRDefault="00D227A4" w:rsidP="00C1730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4"/>
        <w:gridCol w:w="1951"/>
        <w:gridCol w:w="4751"/>
      </w:tblGrid>
      <w:tr w:rsidR="00C17306" w:rsidRPr="00C17306" w14:paraId="296B82CF" w14:textId="77777777">
        <w:trPr>
          <w:tblHeader/>
          <w:tblCellSpacing w:w="15" w:type="dxa"/>
        </w:trPr>
        <w:tc>
          <w:tcPr>
            <w:tcW w:w="0" w:type="auto"/>
            <w:vAlign w:val="center"/>
            <w:hideMark/>
          </w:tcPr>
          <w:p w14:paraId="7620A386" w14:textId="77777777" w:rsidR="00C17306" w:rsidRPr="00C17306" w:rsidRDefault="00C17306" w:rsidP="00C17306">
            <w:pPr>
              <w:rPr>
                <w:b/>
                <w:bCs/>
              </w:rPr>
            </w:pPr>
            <w:r w:rsidRPr="00C17306">
              <w:rPr>
                <w:b/>
                <w:bCs/>
              </w:rPr>
              <w:t>Policy Area</w:t>
            </w:r>
          </w:p>
        </w:tc>
        <w:tc>
          <w:tcPr>
            <w:tcW w:w="0" w:type="auto"/>
            <w:vAlign w:val="center"/>
            <w:hideMark/>
          </w:tcPr>
          <w:p w14:paraId="5D2E3BB2" w14:textId="77777777" w:rsidR="00C17306" w:rsidRPr="00C17306" w:rsidRDefault="00C17306" w:rsidP="00C17306">
            <w:pPr>
              <w:rPr>
                <w:b/>
                <w:bCs/>
              </w:rPr>
            </w:pPr>
            <w:r w:rsidRPr="00C17306">
              <w:rPr>
                <w:b/>
                <w:bCs/>
              </w:rPr>
              <w:t>Recommended Vote</w:t>
            </w:r>
          </w:p>
        </w:tc>
        <w:tc>
          <w:tcPr>
            <w:tcW w:w="0" w:type="auto"/>
            <w:vAlign w:val="center"/>
            <w:hideMark/>
          </w:tcPr>
          <w:p w14:paraId="51B50AC8" w14:textId="77777777" w:rsidR="00C17306" w:rsidRPr="00C17306" w:rsidRDefault="00C17306" w:rsidP="00C17306">
            <w:pPr>
              <w:rPr>
                <w:b/>
                <w:bCs/>
              </w:rPr>
            </w:pPr>
            <w:r w:rsidRPr="00C17306">
              <w:rPr>
                <w:b/>
                <w:bCs/>
              </w:rPr>
              <w:t>Strongest Supporting Wording</w:t>
            </w:r>
          </w:p>
        </w:tc>
      </w:tr>
      <w:tr w:rsidR="00C17306" w:rsidRPr="00C17306" w14:paraId="564E32DC" w14:textId="77777777">
        <w:trPr>
          <w:tblCellSpacing w:w="15" w:type="dxa"/>
        </w:trPr>
        <w:tc>
          <w:tcPr>
            <w:tcW w:w="0" w:type="auto"/>
            <w:vAlign w:val="center"/>
            <w:hideMark/>
          </w:tcPr>
          <w:p w14:paraId="1C86051C" w14:textId="77777777" w:rsidR="00C17306" w:rsidRPr="00C17306" w:rsidRDefault="00C17306" w:rsidP="00C17306">
            <w:r w:rsidRPr="00C17306">
              <w:rPr>
                <w:b/>
                <w:bCs/>
              </w:rPr>
              <w:t>ST1 / ST2 – Development Strategy</w:t>
            </w:r>
          </w:p>
        </w:tc>
        <w:tc>
          <w:tcPr>
            <w:tcW w:w="0" w:type="auto"/>
            <w:vAlign w:val="center"/>
            <w:hideMark/>
          </w:tcPr>
          <w:p w14:paraId="5C7EC8B4" w14:textId="77777777" w:rsidR="00C17306" w:rsidRPr="00C17306" w:rsidRDefault="00C17306" w:rsidP="00C17306">
            <w:r w:rsidRPr="00C17306">
              <w:rPr>
                <w:b/>
                <w:bCs/>
              </w:rPr>
              <w:t>None of the Above</w:t>
            </w:r>
          </w:p>
        </w:tc>
        <w:tc>
          <w:tcPr>
            <w:tcW w:w="0" w:type="auto"/>
            <w:vAlign w:val="center"/>
            <w:hideMark/>
          </w:tcPr>
          <w:p w14:paraId="06E690D0" w14:textId="77777777" w:rsidR="00C17306" w:rsidRPr="00C17306" w:rsidRDefault="00C17306" w:rsidP="00C17306">
            <w:r w:rsidRPr="00C17306">
              <w:t>Options force acceptance of a stadium with housing. Exceptional circumstances not demonstrated.</w:t>
            </w:r>
          </w:p>
        </w:tc>
      </w:tr>
      <w:tr w:rsidR="00C17306" w:rsidRPr="00C17306" w14:paraId="3360A3AF" w14:textId="77777777">
        <w:trPr>
          <w:tblCellSpacing w:w="15" w:type="dxa"/>
        </w:trPr>
        <w:tc>
          <w:tcPr>
            <w:tcW w:w="0" w:type="auto"/>
            <w:vAlign w:val="center"/>
            <w:hideMark/>
          </w:tcPr>
          <w:p w14:paraId="1101FDB6" w14:textId="77777777" w:rsidR="00C17306" w:rsidRPr="00C17306" w:rsidRDefault="00C17306" w:rsidP="00C17306">
            <w:r w:rsidRPr="00C17306">
              <w:rPr>
                <w:b/>
                <w:bCs/>
              </w:rPr>
              <w:t>H1–H3</w:t>
            </w:r>
          </w:p>
        </w:tc>
        <w:tc>
          <w:tcPr>
            <w:tcW w:w="0" w:type="auto"/>
            <w:vAlign w:val="center"/>
            <w:hideMark/>
          </w:tcPr>
          <w:p w14:paraId="146EF627" w14:textId="77777777" w:rsidR="00C17306" w:rsidRPr="00C17306" w:rsidRDefault="00C17306" w:rsidP="00C17306">
            <w:r w:rsidRPr="00C17306">
              <w:rPr>
                <w:b/>
                <w:bCs/>
              </w:rPr>
              <w:t>Strongly Disagree</w:t>
            </w:r>
          </w:p>
        </w:tc>
        <w:tc>
          <w:tcPr>
            <w:tcW w:w="0" w:type="auto"/>
            <w:vAlign w:val="center"/>
            <w:hideMark/>
          </w:tcPr>
          <w:p w14:paraId="7FE5F122" w14:textId="77777777" w:rsidR="00C17306" w:rsidRPr="00C17306" w:rsidRDefault="00C17306" w:rsidP="00C17306">
            <w:r w:rsidRPr="00C17306">
              <w:t>Housing mix unenforceable, viability loopholes too wide, affordable supply uncertain.</w:t>
            </w:r>
          </w:p>
        </w:tc>
      </w:tr>
      <w:tr w:rsidR="00C17306" w:rsidRPr="00C17306" w14:paraId="1E7B31CF" w14:textId="77777777">
        <w:trPr>
          <w:tblCellSpacing w:w="15" w:type="dxa"/>
        </w:trPr>
        <w:tc>
          <w:tcPr>
            <w:tcW w:w="0" w:type="auto"/>
            <w:vAlign w:val="center"/>
            <w:hideMark/>
          </w:tcPr>
          <w:p w14:paraId="1D742DA5" w14:textId="77777777" w:rsidR="00C17306" w:rsidRPr="00C17306" w:rsidRDefault="00C17306" w:rsidP="00C17306">
            <w:r w:rsidRPr="00C17306">
              <w:rPr>
                <w:b/>
                <w:bCs/>
              </w:rPr>
              <w:lastRenderedPageBreak/>
              <w:t>EMP1–EMP4</w:t>
            </w:r>
          </w:p>
        </w:tc>
        <w:tc>
          <w:tcPr>
            <w:tcW w:w="0" w:type="auto"/>
            <w:vAlign w:val="center"/>
            <w:hideMark/>
          </w:tcPr>
          <w:p w14:paraId="0D07C7D8" w14:textId="77777777" w:rsidR="00C17306" w:rsidRPr="00C17306" w:rsidRDefault="00C17306" w:rsidP="00C17306">
            <w:r w:rsidRPr="00C17306">
              <w:rPr>
                <w:b/>
                <w:bCs/>
              </w:rPr>
              <w:t>Disagree / request tightening</w:t>
            </w:r>
          </w:p>
        </w:tc>
        <w:tc>
          <w:tcPr>
            <w:tcW w:w="0" w:type="auto"/>
            <w:vAlign w:val="center"/>
            <w:hideMark/>
          </w:tcPr>
          <w:p w14:paraId="7E8A6615" w14:textId="77777777" w:rsidR="00C17306" w:rsidRPr="00C17306" w:rsidRDefault="00C17306" w:rsidP="00C17306">
            <w:r w:rsidRPr="00C17306">
              <w:t>Employment land protection unclear. Risk of later reinterpretation.</w:t>
            </w:r>
          </w:p>
        </w:tc>
      </w:tr>
      <w:tr w:rsidR="00C17306" w:rsidRPr="00C17306" w14:paraId="3EF35B72" w14:textId="77777777">
        <w:trPr>
          <w:tblCellSpacing w:w="15" w:type="dxa"/>
        </w:trPr>
        <w:tc>
          <w:tcPr>
            <w:tcW w:w="0" w:type="auto"/>
            <w:vAlign w:val="center"/>
            <w:hideMark/>
          </w:tcPr>
          <w:p w14:paraId="7732A78A" w14:textId="77777777" w:rsidR="00C17306" w:rsidRPr="00C17306" w:rsidRDefault="00C17306" w:rsidP="00C17306">
            <w:r w:rsidRPr="00C17306">
              <w:rPr>
                <w:b/>
                <w:bCs/>
              </w:rPr>
              <w:t>EMP5</w:t>
            </w:r>
          </w:p>
        </w:tc>
        <w:tc>
          <w:tcPr>
            <w:tcW w:w="0" w:type="auto"/>
            <w:vAlign w:val="center"/>
            <w:hideMark/>
          </w:tcPr>
          <w:p w14:paraId="6D525510" w14:textId="77777777" w:rsidR="00C17306" w:rsidRPr="00C17306" w:rsidRDefault="00C17306" w:rsidP="00C17306">
            <w:r w:rsidRPr="00C17306">
              <w:rPr>
                <w:b/>
                <w:bCs/>
              </w:rPr>
              <w:t>Agree with strengthening</w:t>
            </w:r>
          </w:p>
        </w:tc>
        <w:tc>
          <w:tcPr>
            <w:tcW w:w="0" w:type="auto"/>
            <w:vAlign w:val="center"/>
            <w:hideMark/>
          </w:tcPr>
          <w:p w14:paraId="0A963170" w14:textId="77777777" w:rsidR="00C17306" w:rsidRPr="00C17306" w:rsidRDefault="00C17306" w:rsidP="00C17306">
            <w:r w:rsidRPr="00C17306">
              <w:t>Add safeguards to prevent inappropriate development on sensitive sites.</w:t>
            </w:r>
          </w:p>
        </w:tc>
      </w:tr>
      <w:tr w:rsidR="00C17306" w:rsidRPr="00C17306" w14:paraId="62F03605" w14:textId="77777777">
        <w:trPr>
          <w:tblCellSpacing w:w="15" w:type="dxa"/>
        </w:trPr>
        <w:tc>
          <w:tcPr>
            <w:tcW w:w="0" w:type="auto"/>
            <w:vAlign w:val="center"/>
            <w:hideMark/>
          </w:tcPr>
          <w:p w14:paraId="19080260" w14:textId="77777777" w:rsidR="00C17306" w:rsidRPr="00C17306" w:rsidRDefault="00C17306" w:rsidP="00C17306">
            <w:r w:rsidRPr="00C17306">
              <w:rPr>
                <w:b/>
                <w:bCs/>
              </w:rPr>
              <w:t>SL1 – Sport &amp; Leisure</w:t>
            </w:r>
          </w:p>
        </w:tc>
        <w:tc>
          <w:tcPr>
            <w:tcW w:w="0" w:type="auto"/>
            <w:vAlign w:val="center"/>
            <w:hideMark/>
          </w:tcPr>
          <w:p w14:paraId="634FEE2C" w14:textId="77777777" w:rsidR="00C17306" w:rsidRPr="00C17306" w:rsidRDefault="00C17306" w:rsidP="00C17306">
            <w:r w:rsidRPr="00C17306">
              <w:rPr>
                <w:b/>
                <w:bCs/>
              </w:rPr>
              <w:t>Strongly Disagree</w:t>
            </w:r>
          </w:p>
        </w:tc>
        <w:tc>
          <w:tcPr>
            <w:tcW w:w="0" w:type="auto"/>
            <w:vAlign w:val="center"/>
            <w:hideMark/>
          </w:tcPr>
          <w:p w14:paraId="0C70EAE6" w14:textId="77777777" w:rsidR="00C17306" w:rsidRPr="00C17306" w:rsidRDefault="00C17306" w:rsidP="00C17306">
            <w:r w:rsidRPr="00C17306">
              <w:t>Wording enables large-scale schemes without evidence of local need. Must require separate consultation.</w:t>
            </w:r>
          </w:p>
        </w:tc>
      </w:tr>
      <w:tr w:rsidR="00C17306" w:rsidRPr="00C17306" w14:paraId="08EC3E83" w14:textId="77777777">
        <w:trPr>
          <w:tblCellSpacing w:w="15" w:type="dxa"/>
        </w:trPr>
        <w:tc>
          <w:tcPr>
            <w:tcW w:w="0" w:type="auto"/>
            <w:vAlign w:val="center"/>
            <w:hideMark/>
          </w:tcPr>
          <w:p w14:paraId="34554E0F" w14:textId="77777777" w:rsidR="00C17306" w:rsidRPr="00C17306" w:rsidRDefault="00C17306" w:rsidP="00C17306">
            <w:r w:rsidRPr="00C17306">
              <w:rPr>
                <w:b/>
                <w:bCs/>
              </w:rPr>
              <w:t>Transport (T1–T4)</w:t>
            </w:r>
          </w:p>
        </w:tc>
        <w:tc>
          <w:tcPr>
            <w:tcW w:w="0" w:type="auto"/>
            <w:vAlign w:val="center"/>
            <w:hideMark/>
          </w:tcPr>
          <w:p w14:paraId="47A07309" w14:textId="77777777" w:rsidR="00C17306" w:rsidRPr="00C17306" w:rsidRDefault="00C17306" w:rsidP="00C17306">
            <w:r w:rsidRPr="00C17306">
              <w:rPr>
                <w:b/>
                <w:bCs/>
              </w:rPr>
              <w:t>Strongly Agree</w:t>
            </w:r>
          </w:p>
        </w:tc>
        <w:tc>
          <w:tcPr>
            <w:tcW w:w="0" w:type="auto"/>
            <w:vAlign w:val="center"/>
            <w:hideMark/>
          </w:tcPr>
          <w:p w14:paraId="7169F516" w14:textId="77777777" w:rsidR="00C17306" w:rsidRPr="00C17306" w:rsidRDefault="00C17306" w:rsidP="00C17306">
            <w:r w:rsidRPr="00C17306">
              <w:t>Highlights unsuitability of PED1/SWAN17 where car-dependency is inevitable.</w:t>
            </w:r>
          </w:p>
        </w:tc>
      </w:tr>
      <w:tr w:rsidR="00C17306" w:rsidRPr="00C17306" w14:paraId="5BB5DE79" w14:textId="77777777">
        <w:trPr>
          <w:tblCellSpacing w:w="15" w:type="dxa"/>
        </w:trPr>
        <w:tc>
          <w:tcPr>
            <w:tcW w:w="0" w:type="auto"/>
            <w:vAlign w:val="center"/>
            <w:hideMark/>
          </w:tcPr>
          <w:p w14:paraId="6A26E242" w14:textId="77777777" w:rsidR="00C17306" w:rsidRPr="00C17306" w:rsidRDefault="00C17306" w:rsidP="00C17306">
            <w:r w:rsidRPr="00C17306">
              <w:rPr>
                <w:b/>
                <w:bCs/>
              </w:rPr>
              <w:t>Natural Environment (NE1, BW1, AF1, BW2)</w:t>
            </w:r>
          </w:p>
        </w:tc>
        <w:tc>
          <w:tcPr>
            <w:tcW w:w="0" w:type="auto"/>
            <w:vAlign w:val="center"/>
            <w:hideMark/>
          </w:tcPr>
          <w:p w14:paraId="70C2E06E" w14:textId="77777777" w:rsidR="00C17306" w:rsidRPr="00C17306" w:rsidRDefault="00C17306" w:rsidP="00C17306">
            <w:r w:rsidRPr="00C17306">
              <w:rPr>
                <w:b/>
                <w:bCs/>
              </w:rPr>
              <w:t>Agree / Strengthen</w:t>
            </w:r>
          </w:p>
        </w:tc>
        <w:tc>
          <w:tcPr>
            <w:tcW w:w="0" w:type="auto"/>
            <w:vAlign w:val="center"/>
            <w:hideMark/>
          </w:tcPr>
          <w:p w14:paraId="7F28CFB9" w14:textId="77777777" w:rsidR="00C17306" w:rsidRPr="00C17306" w:rsidRDefault="00C17306" w:rsidP="00C17306">
            <w:r w:rsidRPr="00C17306">
              <w:t>Reinforce National Landscape protection. Restore BNG to 20%.</w:t>
            </w:r>
          </w:p>
        </w:tc>
      </w:tr>
    </w:tbl>
    <w:p w14:paraId="6B24A1F2" w14:textId="77777777" w:rsidR="00C17306" w:rsidRPr="00C17306" w:rsidRDefault="00C17306" w:rsidP="00C17306">
      <w:r w:rsidRPr="00C17306">
        <w:pict w14:anchorId="6DC59E37">
          <v:rect id="_x0000_i1106" style="width:0;height:1.5pt" o:hralign="center" o:hrstd="t" o:hr="t" fillcolor="#a0a0a0" stroked="f"/>
        </w:pict>
      </w:r>
    </w:p>
    <w:p w14:paraId="7765A085" w14:textId="77777777" w:rsidR="00C17306" w:rsidRPr="00C17306" w:rsidRDefault="00C17306" w:rsidP="00C17306">
      <w:pPr>
        <w:rPr>
          <w:b/>
          <w:bCs/>
        </w:rPr>
      </w:pPr>
      <w:r w:rsidRPr="00C17306">
        <w:rPr>
          <w:b/>
          <w:bCs/>
        </w:rPr>
        <w:t>STEP 4 – Evidence Base Comments</w:t>
      </w:r>
    </w:p>
    <w:p w14:paraId="10CC05D5" w14:textId="77777777" w:rsidR="00C17306" w:rsidRPr="00C17306" w:rsidRDefault="00C17306" w:rsidP="00C17306">
      <w:r w:rsidRPr="00C17306">
        <w:t xml:space="preserve">Select </w:t>
      </w:r>
      <w:r w:rsidRPr="00C17306">
        <w:rPr>
          <w:b/>
          <w:bCs/>
        </w:rPr>
        <w:t>Evidence Base</w:t>
      </w:r>
      <w:r w:rsidRPr="00C17306">
        <w:t xml:space="preserve"> tab and use structured objections:</w:t>
      </w:r>
    </w:p>
    <w:p w14:paraId="7E086510" w14:textId="77777777" w:rsidR="00C17306" w:rsidRPr="00C17306" w:rsidRDefault="00C17306" w:rsidP="00C17306">
      <w:pPr>
        <w:numPr>
          <w:ilvl w:val="0"/>
          <w:numId w:val="2"/>
        </w:numPr>
      </w:pPr>
      <w:r w:rsidRPr="00C17306">
        <w:t>Green Belt Assessment inconsistent with earlier findings</w:t>
      </w:r>
    </w:p>
    <w:p w14:paraId="231A08DB" w14:textId="77777777" w:rsidR="00C17306" w:rsidRPr="00C17306" w:rsidRDefault="00C17306" w:rsidP="00C17306">
      <w:pPr>
        <w:numPr>
          <w:ilvl w:val="0"/>
          <w:numId w:val="2"/>
        </w:numPr>
      </w:pPr>
      <w:r w:rsidRPr="00C17306">
        <w:t>Sustainability Appraisal lacks like-for-like alternatives testing</w:t>
      </w:r>
    </w:p>
    <w:p w14:paraId="38D27EB8" w14:textId="77777777" w:rsidR="00C17306" w:rsidRPr="00C17306" w:rsidRDefault="00C17306" w:rsidP="00C17306">
      <w:pPr>
        <w:numPr>
          <w:ilvl w:val="0"/>
          <w:numId w:val="2"/>
        </w:numPr>
      </w:pPr>
      <w:r w:rsidRPr="00C17306">
        <w:t>No drainage funding → PED1 undeliverable</w:t>
      </w:r>
    </w:p>
    <w:p w14:paraId="7E54256B" w14:textId="77777777" w:rsidR="00C17306" w:rsidRPr="00C17306" w:rsidRDefault="00C17306" w:rsidP="00C17306">
      <w:pPr>
        <w:numPr>
          <w:ilvl w:val="0"/>
          <w:numId w:val="2"/>
        </w:numPr>
      </w:pPr>
      <w:r w:rsidRPr="00C17306">
        <w:t>Transport modelling incomplete → risk of Examination failure</w:t>
      </w:r>
    </w:p>
    <w:p w14:paraId="7D2C6C22" w14:textId="77777777" w:rsidR="00C17306" w:rsidRPr="00C17306" w:rsidRDefault="00C17306" w:rsidP="00C17306">
      <w:r w:rsidRPr="00C17306">
        <w:rPr>
          <w:highlight w:val="green"/>
        </w:rPr>
        <w:t>Conclude with:</w:t>
      </w:r>
    </w:p>
    <w:p w14:paraId="2C3D54B5" w14:textId="77777777" w:rsidR="00C17306" w:rsidRPr="00C17306" w:rsidRDefault="00C17306" w:rsidP="00C17306">
      <w:r w:rsidRPr="00C17306">
        <w:t xml:space="preserve">PED1 and SWAN17 should be removed to avoid legal risk and NPPF non-compliance. </w:t>
      </w:r>
    </w:p>
    <w:p w14:paraId="11EA7A05" w14:textId="77777777" w:rsidR="00C17306" w:rsidRPr="00C17306" w:rsidRDefault="00C17306" w:rsidP="00C17306">
      <w:r w:rsidRPr="00C17306">
        <w:pict w14:anchorId="5153944C">
          <v:rect id="_x0000_i1107" style="width:0;height:1.5pt" o:hralign="center" o:hrstd="t" o:hr="t" fillcolor="#a0a0a0" stroked="f"/>
        </w:pict>
      </w:r>
    </w:p>
    <w:p w14:paraId="24B97792" w14:textId="77777777" w:rsidR="00C17306" w:rsidRPr="00C17306" w:rsidRDefault="00C17306" w:rsidP="00C17306">
      <w:pPr>
        <w:rPr>
          <w:b/>
          <w:bCs/>
        </w:rPr>
      </w:pPr>
      <w:r w:rsidRPr="00C17306">
        <w:rPr>
          <w:b/>
          <w:bCs/>
        </w:rPr>
        <w:t>Final Submission Section</w:t>
      </w:r>
    </w:p>
    <w:p w14:paraId="7A2CE1CB" w14:textId="77777777" w:rsidR="00C17306" w:rsidRPr="00C17306" w:rsidRDefault="00C17306" w:rsidP="00C17306">
      <w:r w:rsidRPr="00C17306">
        <w:t>You may paste the following at the end of your response:</w:t>
      </w:r>
    </w:p>
    <w:p w14:paraId="3CAEF6D2" w14:textId="68423E1C" w:rsidR="00654249" w:rsidRPr="002D39DC" w:rsidRDefault="00C17306" w:rsidP="00141E76">
      <w:pPr>
        <w:rPr>
          <w:rFonts w:ascii="Arial" w:hAnsi="Arial" w:cs="Arial"/>
          <w:i/>
          <w:iCs/>
          <w:highlight w:val="green"/>
        </w:rPr>
      </w:pPr>
      <w:r w:rsidRPr="00C17306">
        <w:rPr>
          <w:b/>
          <w:bCs/>
          <w:highlight w:val="green"/>
        </w:rPr>
        <w:t>I request that PED1 and SWAN17 are removed from Regulation 18 allocations, or designated ‘Not Currently Deliverable’ until the Council publishes full technical evidence, demonstrates exceptional circumstances and proves sustainable delivery in the public interest.</w:t>
      </w:r>
      <w:r w:rsidRPr="00C17306">
        <w:br/>
      </w:r>
      <w:r w:rsidR="00141E76">
        <w:rPr>
          <w:rFonts w:ascii="Arial" w:hAnsi="Arial" w:cs="Arial"/>
          <w:b/>
          <w:bCs/>
          <w:sz w:val="24"/>
          <w:szCs w:val="24"/>
          <w:highlight w:val="green"/>
        </w:rPr>
        <w:br/>
      </w:r>
      <w:r w:rsidR="00654249" w:rsidRPr="00CC2EB0">
        <w:rPr>
          <w:rFonts w:ascii="Arial" w:hAnsi="Arial" w:cs="Arial"/>
          <w:b/>
          <w:bCs/>
          <w:sz w:val="24"/>
          <w:szCs w:val="24"/>
          <w:highlight w:val="green"/>
        </w:rPr>
        <w:t>Good faith statement:</w:t>
      </w:r>
      <w:r w:rsidR="00654249" w:rsidRPr="002D39DC">
        <w:rPr>
          <w:rFonts w:ascii="Times New Roman" w:eastAsia="Times New Roman" w:hAnsi="Times New Roman" w:cs="Times New Roman"/>
          <w:kern w:val="0"/>
          <w:sz w:val="24"/>
          <w:szCs w:val="24"/>
          <w:lang w:eastAsia="en-GB"/>
          <w14:ligatures w14:val="none"/>
        </w:rPr>
        <w:t xml:space="preserve"> </w:t>
      </w:r>
      <w:r w:rsidR="00654249" w:rsidRPr="002D39DC">
        <w:rPr>
          <w:rFonts w:ascii="Arial" w:hAnsi="Arial" w:cs="Arial"/>
          <w:i/>
          <w:iCs/>
          <w:highlight w:val="green"/>
        </w:rPr>
        <w:t>This representation is submitted in good faith to support proper scrutiny of the Local Plan and its evidence base. It is provided transparently and to the best of the respondent’s knowledge. Any unintentional errors can be clarified or corrected if requested during examination.</w:t>
      </w:r>
    </w:p>
    <w:sectPr w:rsidR="00654249" w:rsidRPr="002D39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90ECA"/>
    <w:multiLevelType w:val="multilevel"/>
    <w:tmpl w:val="3DE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C054F"/>
    <w:multiLevelType w:val="multilevel"/>
    <w:tmpl w:val="C452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218752">
    <w:abstractNumId w:val="1"/>
  </w:num>
  <w:num w:numId="2" w16cid:durableId="39539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3361"/>
    <w:rsid w:val="00003E61"/>
    <w:rsid w:val="00003F15"/>
    <w:rsid w:val="000041E0"/>
    <w:rsid w:val="0000496C"/>
    <w:rsid w:val="00005465"/>
    <w:rsid w:val="00005691"/>
    <w:rsid w:val="0000635E"/>
    <w:rsid w:val="00012B71"/>
    <w:rsid w:val="000139FA"/>
    <w:rsid w:val="000142E3"/>
    <w:rsid w:val="00014C06"/>
    <w:rsid w:val="000151D5"/>
    <w:rsid w:val="000155D7"/>
    <w:rsid w:val="00021F60"/>
    <w:rsid w:val="00022152"/>
    <w:rsid w:val="00024486"/>
    <w:rsid w:val="00031AB4"/>
    <w:rsid w:val="00032248"/>
    <w:rsid w:val="00033BFA"/>
    <w:rsid w:val="0004133E"/>
    <w:rsid w:val="00042444"/>
    <w:rsid w:val="00042DED"/>
    <w:rsid w:val="00043179"/>
    <w:rsid w:val="00047A19"/>
    <w:rsid w:val="00047CB6"/>
    <w:rsid w:val="000502A5"/>
    <w:rsid w:val="00053C7E"/>
    <w:rsid w:val="00054617"/>
    <w:rsid w:val="000563E6"/>
    <w:rsid w:val="00056848"/>
    <w:rsid w:val="000647E4"/>
    <w:rsid w:val="00064B91"/>
    <w:rsid w:val="000656F1"/>
    <w:rsid w:val="0007158B"/>
    <w:rsid w:val="00071F65"/>
    <w:rsid w:val="000723F4"/>
    <w:rsid w:val="000735AC"/>
    <w:rsid w:val="00074D98"/>
    <w:rsid w:val="00076836"/>
    <w:rsid w:val="00083013"/>
    <w:rsid w:val="00085800"/>
    <w:rsid w:val="00085A96"/>
    <w:rsid w:val="000920E5"/>
    <w:rsid w:val="00095389"/>
    <w:rsid w:val="00096DBD"/>
    <w:rsid w:val="000A2F07"/>
    <w:rsid w:val="000A4E71"/>
    <w:rsid w:val="000A57B0"/>
    <w:rsid w:val="000A66E7"/>
    <w:rsid w:val="000B036C"/>
    <w:rsid w:val="000B38CE"/>
    <w:rsid w:val="000B474B"/>
    <w:rsid w:val="000B61D0"/>
    <w:rsid w:val="000C02EA"/>
    <w:rsid w:val="000C0F5C"/>
    <w:rsid w:val="000C321E"/>
    <w:rsid w:val="000C76D0"/>
    <w:rsid w:val="000D3EDE"/>
    <w:rsid w:val="000D493E"/>
    <w:rsid w:val="000D5C18"/>
    <w:rsid w:val="000D5F28"/>
    <w:rsid w:val="000D67D5"/>
    <w:rsid w:val="000E03DC"/>
    <w:rsid w:val="000E1537"/>
    <w:rsid w:val="000E1649"/>
    <w:rsid w:val="000E2979"/>
    <w:rsid w:val="000E5151"/>
    <w:rsid w:val="000E5FED"/>
    <w:rsid w:val="000F04A4"/>
    <w:rsid w:val="000F249A"/>
    <w:rsid w:val="000F3561"/>
    <w:rsid w:val="000F38A7"/>
    <w:rsid w:val="000F5D1A"/>
    <w:rsid w:val="000F66ED"/>
    <w:rsid w:val="001071B3"/>
    <w:rsid w:val="001128A4"/>
    <w:rsid w:val="00112E5C"/>
    <w:rsid w:val="00114350"/>
    <w:rsid w:val="00114A65"/>
    <w:rsid w:val="00116333"/>
    <w:rsid w:val="001210A8"/>
    <w:rsid w:val="00121A73"/>
    <w:rsid w:val="0012466D"/>
    <w:rsid w:val="0013051A"/>
    <w:rsid w:val="00130FF6"/>
    <w:rsid w:val="00132C41"/>
    <w:rsid w:val="00132D6C"/>
    <w:rsid w:val="00140FF3"/>
    <w:rsid w:val="00141730"/>
    <w:rsid w:val="00141E76"/>
    <w:rsid w:val="00142B72"/>
    <w:rsid w:val="00143929"/>
    <w:rsid w:val="00144E7E"/>
    <w:rsid w:val="0014550B"/>
    <w:rsid w:val="00146F75"/>
    <w:rsid w:val="00147A50"/>
    <w:rsid w:val="001501F4"/>
    <w:rsid w:val="00151906"/>
    <w:rsid w:val="00152A35"/>
    <w:rsid w:val="001531B2"/>
    <w:rsid w:val="00153879"/>
    <w:rsid w:val="00154E01"/>
    <w:rsid w:val="00155FEF"/>
    <w:rsid w:val="00157562"/>
    <w:rsid w:val="00160C75"/>
    <w:rsid w:val="001634AB"/>
    <w:rsid w:val="00164BAB"/>
    <w:rsid w:val="00164E4C"/>
    <w:rsid w:val="001658F7"/>
    <w:rsid w:val="00166528"/>
    <w:rsid w:val="00170826"/>
    <w:rsid w:val="001731E6"/>
    <w:rsid w:val="0017482E"/>
    <w:rsid w:val="001762B9"/>
    <w:rsid w:val="0017690E"/>
    <w:rsid w:val="00176954"/>
    <w:rsid w:val="0018132F"/>
    <w:rsid w:val="00183251"/>
    <w:rsid w:val="00186343"/>
    <w:rsid w:val="0018690C"/>
    <w:rsid w:val="00194A69"/>
    <w:rsid w:val="0019581B"/>
    <w:rsid w:val="001964B6"/>
    <w:rsid w:val="00197DEC"/>
    <w:rsid w:val="001A17CF"/>
    <w:rsid w:val="001A3B28"/>
    <w:rsid w:val="001A6457"/>
    <w:rsid w:val="001B1CD9"/>
    <w:rsid w:val="001B24DC"/>
    <w:rsid w:val="001B37A3"/>
    <w:rsid w:val="001B3E21"/>
    <w:rsid w:val="001B3FEE"/>
    <w:rsid w:val="001B5444"/>
    <w:rsid w:val="001B5E7C"/>
    <w:rsid w:val="001B7A27"/>
    <w:rsid w:val="001C0805"/>
    <w:rsid w:val="001C4D0E"/>
    <w:rsid w:val="001C4E88"/>
    <w:rsid w:val="001D2E61"/>
    <w:rsid w:val="001D359E"/>
    <w:rsid w:val="001D3CDF"/>
    <w:rsid w:val="001D3E5A"/>
    <w:rsid w:val="001D5979"/>
    <w:rsid w:val="001D5B46"/>
    <w:rsid w:val="001D65EA"/>
    <w:rsid w:val="001E0943"/>
    <w:rsid w:val="001E0E5B"/>
    <w:rsid w:val="001E231C"/>
    <w:rsid w:val="001E2F6B"/>
    <w:rsid w:val="001E3135"/>
    <w:rsid w:val="001E4AC7"/>
    <w:rsid w:val="001E7A76"/>
    <w:rsid w:val="001F104E"/>
    <w:rsid w:val="001F1D12"/>
    <w:rsid w:val="001F2900"/>
    <w:rsid w:val="001F619A"/>
    <w:rsid w:val="00200331"/>
    <w:rsid w:val="00200606"/>
    <w:rsid w:val="00206487"/>
    <w:rsid w:val="002066B4"/>
    <w:rsid w:val="002114C0"/>
    <w:rsid w:val="002123C0"/>
    <w:rsid w:val="002152BC"/>
    <w:rsid w:val="00216FB8"/>
    <w:rsid w:val="00236B2A"/>
    <w:rsid w:val="002430E2"/>
    <w:rsid w:val="00243325"/>
    <w:rsid w:val="00243CF5"/>
    <w:rsid w:val="0024431D"/>
    <w:rsid w:val="0025237B"/>
    <w:rsid w:val="00252933"/>
    <w:rsid w:val="00253623"/>
    <w:rsid w:val="002537B5"/>
    <w:rsid w:val="00254F76"/>
    <w:rsid w:val="00254FDE"/>
    <w:rsid w:val="00256740"/>
    <w:rsid w:val="002567BC"/>
    <w:rsid w:val="002633F6"/>
    <w:rsid w:val="0026354B"/>
    <w:rsid w:val="00264348"/>
    <w:rsid w:val="00264596"/>
    <w:rsid w:val="00266871"/>
    <w:rsid w:val="00266B1F"/>
    <w:rsid w:val="002676E5"/>
    <w:rsid w:val="00274E7A"/>
    <w:rsid w:val="00275F10"/>
    <w:rsid w:val="002769CA"/>
    <w:rsid w:val="00277925"/>
    <w:rsid w:val="002805C8"/>
    <w:rsid w:val="002834F1"/>
    <w:rsid w:val="00285C2F"/>
    <w:rsid w:val="00287783"/>
    <w:rsid w:val="00293D1F"/>
    <w:rsid w:val="00293F01"/>
    <w:rsid w:val="00294193"/>
    <w:rsid w:val="0029722F"/>
    <w:rsid w:val="00297FDA"/>
    <w:rsid w:val="002A06B1"/>
    <w:rsid w:val="002B1E89"/>
    <w:rsid w:val="002B3F3F"/>
    <w:rsid w:val="002B6252"/>
    <w:rsid w:val="002C0FBC"/>
    <w:rsid w:val="002C1C53"/>
    <w:rsid w:val="002C7B22"/>
    <w:rsid w:val="002D06B4"/>
    <w:rsid w:val="002D2970"/>
    <w:rsid w:val="002D51D7"/>
    <w:rsid w:val="002D6939"/>
    <w:rsid w:val="002E2201"/>
    <w:rsid w:val="002E2AAB"/>
    <w:rsid w:val="002E42A1"/>
    <w:rsid w:val="002E474D"/>
    <w:rsid w:val="002F19F2"/>
    <w:rsid w:val="002F2B98"/>
    <w:rsid w:val="002F6966"/>
    <w:rsid w:val="002F6969"/>
    <w:rsid w:val="002F77BA"/>
    <w:rsid w:val="00302CB6"/>
    <w:rsid w:val="003041DF"/>
    <w:rsid w:val="0030515C"/>
    <w:rsid w:val="00305FCD"/>
    <w:rsid w:val="00307D50"/>
    <w:rsid w:val="00314958"/>
    <w:rsid w:val="00315EFC"/>
    <w:rsid w:val="003164B3"/>
    <w:rsid w:val="00317544"/>
    <w:rsid w:val="00320829"/>
    <w:rsid w:val="00320E32"/>
    <w:rsid w:val="00321253"/>
    <w:rsid w:val="003218E1"/>
    <w:rsid w:val="00323E5C"/>
    <w:rsid w:val="00324426"/>
    <w:rsid w:val="00325272"/>
    <w:rsid w:val="003260FB"/>
    <w:rsid w:val="00326614"/>
    <w:rsid w:val="003304CF"/>
    <w:rsid w:val="00330938"/>
    <w:rsid w:val="00331A4F"/>
    <w:rsid w:val="0033516D"/>
    <w:rsid w:val="0033578B"/>
    <w:rsid w:val="003363D2"/>
    <w:rsid w:val="003375AC"/>
    <w:rsid w:val="003378FD"/>
    <w:rsid w:val="003414D0"/>
    <w:rsid w:val="00341B3E"/>
    <w:rsid w:val="00346B87"/>
    <w:rsid w:val="00347B47"/>
    <w:rsid w:val="00350769"/>
    <w:rsid w:val="00354139"/>
    <w:rsid w:val="00354958"/>
    <w:rsid w:val="00357609"/>
    <w:rsid w:val="00357FA6"/>
    <w:rsid w:val="003606B3"/>
    <w:rsid w:val="003607ED"/>
    <w:rsid w:val="00364248"/>
    <w:rsid w:val="00364DE6"/>
    <w:rsid w:val="00365DCD"/>
    <w:rsid w:val="00366876"/>
    <w:rsid w:val="00370696"/>
    <w:rsid w:val="003721C0"/>
    <w:rsid w:val="00373432"/>
    <w:rsid w:val="00373530"/>
    <w:rsid w:val="0037493F"/>
    <w:rsid w:val="003759CB"/>
    <w:rsid w:val="003778B1"/>
    <w:rsid w:val="00377E8F"/>
    <w:rsid w:val="00384BD8"/>
    <w:rsid w:val="00385BC6"/>
    <w:rsid w:val="00387E34"/>
    <w:rsid w:val="00395217"/>
    <w:rsid w:val="0039748B"/>
    <w:rsid w:val="003974C3"/>
    <w:rsid w:val="0039763D"/>
    <w:rsid w:val="003A08A7"/>
    <w:rsid w:val="003A1947"/>
    <w:rsid w:val="003A6075"/>
    <w:rsid w:val="003A6362"/>
    <w:rsid w:val="003B21F9"/>
    <w:rsid w:val="003B24D2"/>
    <w:rsid w:val="003B512B"/>
    <w:rsid w:val="003B5996"/>
    <w:rsid w:val="003B60D0"/>
    <w:rsid w:val="003B70B6"/>
    <w:rsid w:val="003C2D75"/>
    <w:rsid w:val="003C430D"/>
    <w:rsid w:val="003C50F0"/>
    <w:rsid w:val="003D3794"/>
    <w:rsid w:val="003D3B6B"/>
    <w:rsid w:val="003D4186"/>
    <w:rsid w:val="003D5F3A"/>
    <w:rsid w:val="003E4611"/>
    <w:rsid w:val="003F07F6"/>
    <w:rsid w:val="003F1256"/>
    <w:rsid w:val="003F3874"/>
    <w:rsid w:val="003F3B77"/>
    <w:rsid w:val="00400A12"/>
    <w:rsid w:val="00401F14"/>
    <w:rsid w:val="00404389"/>
    <w:rsid w:val="00410553"/>
    <w:rsid w:val="00411239"/>
    <w:rsid w:val="00411E55"/>
    <w:rsid w:val="00412647"/>
    <w:rsid w:val="00413763"/>
    <w:rsid w:val="004150A1"/>
    <w:rsid w:val="00415158"/>
    <w:rsid w:val="004216A1"/>
    <w:rsid w:val="00426297"/>
    <w:rsid w:val="004401B8"/>
    <w:rsid w:val="0044022F"/>
    <w:rsid w:val="00440634"/>
    <w:rsid w:val="0044119F"/>
    <w:rsid w:val="00442D7B"/>
    <w:rsid w:val="00443809"/>
    <w:rsid w:val="00443934"/>
    <w:rsid w:val="00444A64"/>
    <w:rsid w:val="00446667"/>
    <w:rsid w:val="00447E7C"/>
    <w:rsid w:val="004502E8"/>
    <w:rsid w:val="00450906"/>
    <w:rsid w:val="004547B1"/>
    <w:rsid w:val="004563AF"/>
    <w:rsid w:val="004610A9"/>
    <w:rsid w:val="0046421A"/>
    <w:rsid w:val="00464328"/>
    <w:rsid w:val="0046528D"/>
    <w:rsid w:val="00467AA1"/>
    <w:rsid w:val="00472532"/>
    <w:rsid w:val="00481CFB"/>
    <w:rsid w:val="00482DF9"/>
    <w:rsid w:val="00482E3A"/>
    <w:rsid w:val="00484F21"/>
    <w:rsid w:val="004854E3"/>
    <w:rsid w:val="004859DD"/>
    <w:rsid w:val="00485A1A"/>
    <w:rsid w:val="004865CD"/>
    <w:rsid w:val="00491D5B"/>
    <w:rsid w:val="00497234"/>
    <w:rsid w:val="00497786"/>
    <w:rsid w:val="004A0E3F"/>
    <w:rsid w:val="004A16BA"/>
    <w:rsid w:val="004A3106"/>
    <w:rsid w:val="004A6908"/>
    <w:rsid w:val="004A6CFB"/>
    <w:rsid w:val="004A75C6"/>
    <w:rsid w:val="004B1286"/>
    <w:rsid w:val="004B1291"/>
    <w:rsid w:val="004B2223"/>
    <w:rsid w:val="004B3493"/>
    <w:rsid w:val="004B5720"/>
    <w:rsid w:val="004B68D4"/>
    <w:rsid w:val="004B7D63"/>
    <w:rsid w:val="004C323C"/>
    <w:rsid w:val="004D3DF4"/>
    <w:rsid w:val="004D582A"/>
    <w:rsid w:val="004D5AB2"/>
    <w:rsid w:val="004E0D5E"/>
    <w:rsid w:val="004E1CB6"/>
    <w:rsid w:val="004E48B8"/>
    <w:rsid w:val="004E5E1C"/>
    <w:rsid w:val="004F6E03"/>
    <w:rsid w:val="004F726D"/>
    <w:rsid w:val="004F78A2"/>
    <w:rsid w:val="004F7BFC"/>
    <w:rsid w:val="00505F01"/>
    <w:rsid w:val="0050769C"/>
    <w:rsid w:val="0051147C"/>
    <w:rsid w:val="0051365E"/>
    <w:rsid w:val="00514E5F"/>
    <w:rsid w:val="00515AB3"/>
    <w:rsid w:val="00516719"/>
    <w:rsid w:val="0052147E"/>
    <w:rsid w:val="00521DDC"/>
    <w:rsid w:val="00525AB9"/>
    <w:rsid w:val="00525EBF"/>
    <w:rsid w:val="00526CF3"/>
    <w:rsid w:val="00527EEC"/>
    <w:rsid w:val="00531148"/>
    <w:rsid w:val="0053172D"/>
    <w:rsid w:val="00532605"/>
    <w:rsid w:val="005327E5"/>
    <w:rsid w:val="00533277"/>
    <w:rsid w:val="005335DF"/>
    <w:rsid w:val="00534D70"/>
    <w:rsid w:val="0053504F"/>
    <w:rsid w:val="0053772B"/>
    <w:rsid w:val="00540706"/>
    <w:rsid w:val="005427DE"/>
    <w:rsid w:val="0054435A"/>
    <w:rsid w:val="00544F08"/>
    <w:rsid w:val="00546D04"/>
    <w:rsid w:val="00550FF6"/>
    <w:rsid w:val="00553DDA"/>
    <w:rsid w:val="005546A8"/>
    <w:rsid w:val="00554C02"/>
    <w:rsid w:val="00555761"/>
    <w:rsid w:val="00557584"/>
    <w:rsid w:val="0056007F"/>
    <w:rsid w:val="00561F60"/>
    <w:rsid w:val="0056268F"/>
    <w:rsid w:val="0056353B"/>
    <w:rsid w:val="005648E3"/>
    <w:rsid w:val="00564D72"/>
    <w:rsid w:val="005673F0"/>
    <w:rsid w:val="005727E3"/>
    <w:rsid w:val="005757C9"/>
    <w:rsid w:val="005767B7"/>
    <w:rsid w:val="00576DBF"/>
    <w:rsid w:val="00577CB9"/>
    <w:rsid w:val="00581424"/>
    <w:rsid w:val="005829CF"/>
    <w:rsid w:val="00582E5B"/>
    <w:rsid w:val="005858E4"/>
    <w:rsid w:val="00587435"/>
    <w:rsid w:val="00587D87"/>
    <w:rsid w:val="00590D3E"/>
    <w:rsid w:val="00591A5D"/>
    <w:rsid w:val="005944D9"/>
    <w:rsid w:val="00594751"/>
    <w:rsid w:val="005A1C41"/>
    <w:rsid w:val="005A4EF6"/>
    <w:rsid w:val="005A61EF"/>
    <w:rsid w:val="005A711C"/>
    <w:rsid w:val="005B05D6"/>
    <w:rsid w:val="005B0BE9"/>
    <w:rsid w:val="005B0E47"/>
    <w:rsid w:val="005B1F6F"/>
    <w:rsid w:val="005B3321"/>
    <w:rsid w:val="005B36AE"/>
    <w:rsid w:val="005B42B0"/>
    <w:rsid w:val="005B7390"/>
    <w:rsid w:val="005B766B"/>
    <w:rsid w:val="005C0A8C"/>
    <w:rsid w:val="005C4B37"/>
    <w:rsid w:val="005C64FC"/>
    <w:rsid w:val="005C6833"/>
    <w:rsid w:val="005D0FAD"/>
    <w:rsid w:val="005D4DF5"/>
    <w:rsid w:val="005D51DF"/>
    <w:rsid w:val="005D7CCC"/>
    <w:rsid w:val="005D7EE8"/>
    <w:rsid w:val="005E5B21"/>
    <w:rsid w:val="005E63AB"/>
    <w:rsid w:val="005F060A"/>
    <w:rsid w:val="00601C6C"/>
    <w:rsid w:val="00602239"/>
    <w:rsid w:val="00602D3D"/>
    <w:rsid w:val="00603496"/>
    <w:rsid w:val="00610E09"/>
    <w:rsid w:val="00612DE9"/>
    <w:rsid w:val="006131DC"/>
    <w:rsid w:val="0061498F"/>
    <w:rsid w:val="006243CC"/>
    <w:rsid w:val="00624449"/>
    <w:rsid w:val="00624B55"/>
    <w:rsid w:val="006260FD"/>
    <w:rsid w:val="0062744B"/>
    <w:rsid w:val="006315D6"/>
    <w:rsid w:val="006338EF"/>
    <w:rsid w:val="00634CEC"/>
    <w:rsid w:val="006361F3"/>
    <w:rsid w:val="006377FC"/>
    <w:rsid w:val="00640272"/>
    <w:rsid w:val="00642390"/>
    <w:rsid w:val="00642424"/>
    <w:rsid w:val="006435C9"/>
    <w:rsid w:val="00644E94"/>
    <w:rsid w:val="00650479"/>
    <w:rsid w:val="00654249"/>
    <w:rsid w:val="006557F6"/>
    <w:rsid w:val="00662660"/>
    <w:rsid w:val="00664E5C"/>
    <w:rsid w:val="00665546"/>
    <w:rsid w:val="006661F5"/>
    <w:rsid w:val="00666E7E"/>
    <w:rsid w:val="00670578"/>
    <w:rsid w:val="00670C2F"/>
    <w:rsid w:val="006712F4"/>
    <w:rsid w:val="00676713"/>
    <w:rsid w:val="006772B8"/>
    <w:rsid w:val="006804B4"/>
    <w:rsid w:val="006819EE"/>
    <w:rsid w:val="00682731"/>
    <w:rsid w:val="006873DB"/>
    <w:rsid w:val="006920F1"/>
    <w:rsid w:val="00693361"/>
    <w:rsid w:val="00695C11"/>
    <w:rsid w:val="00697654"/>
    <w:rsid w:val="006A0A92"/>
    <w:rsid w:val="006A2ACD"/>
    <w:rsid w:val="006A2C9B"/>
    <w:rsid w:val="006A440B"/>
    <w:rsid w:val="006A4D59"/>
    <w:rsid w:val="006B099C"/>
    <w:rsid w:val="006B41D9"/>
    <w:rsid w:val="006B4CBF"/>
    <w:rsid w:val="006B66B7"/>
    <w:rsid w:val="006B6765"/>
    <w:rsid w:val="006C1F89"/>
    <w:rsid w:val="006C2095"/>
    <w:rsid w:val="006D04B4"/>
    <w:rsid w:val="006D19B8"/>
    <w:rsid w:val="006D340F"/>
    <w:rsid w:val="006D3C95"/>
    <w:rsid w:val="006D55E3"/>
    <w:rsid w:val="006D69FE"/>
    <w:rsid w:val="006D73DC"/>
    <w:rsid w:val="006E0013"/>
    <w:rsid w:val="006E1BB2"/>
    <w:rsid w:val="006E5164"/>
    <w:rsid w:val="006E581D"/>
    <w:rsid w:val="006E6D65"/>
    <w:rsid w:val="006E7748"/>
    <w:rsid w:val="006E783E"/>
    <w:rsid w:val="006F2320"/>
    <w:rsid w:val="006F601C"/>
    <w:rsid w:val="006F6190"/>
    <w:rsid w:val="006F64A6"/>
    <w:rsid w:val="006F6D1D"/>
    <w:rsid w:val="006F7A35"/>
    <w:rsid w:val="006F7CF9"/>
    <w:rsid w:val="0070069A"/>
    <w:rsid w:val="00701421"/>
    <w:rsid w:val="00701469"/>
    <w:rsid w:val="00701D55"/>
    <w:rsid w:val="00702CC6"/>
    <w:rsid w:val="007042D2"/>
    <w:rsid w:val="007044D9"/>
    <w:rsid w:val="0070460D"/>
    <w:rsid w:val="00704D35"/>
    <w:rsid w:val="00710A35"/>
    <w:rsid w:val="007133C9"/>
    <w:rsid w:val="00714D2B"/>
    <w:rsid w:val="007163E7"/>
    <w:rsid w:val="00717628"/>
    <w:rsid w:val="00720071"/>
    <w:rsid w:val="0072361B"/>
    <w:rsid w:val="00723A64"/>
    <w:rsid w:val="0072596F"/>
    <w:rsid w:val="007274D9"/>
    <w:rsid w:val="007310C9"/>
    <w:rsid w:val="00731655"/>
    <w:rsid w:val="00732BF6"/>
    <w:rsid w:val="0074061A"/>
    <w:rsid w:val="007408B3"/>
    <w:rsid w:val="00740A49"/>
    <w:rsid w:val="00741795"/>
    <w:rsid w:val="00741E0F"/>
    <w:rsid w:val="00746004"/>
    <w:rsid w:val="007478D2"/>
    <w:rsid w:val="00750614"/>
    <w:rsid w:val="00755B90"/>
    <w:rsid w:val="00757AF5"/>
    <w:rsid w:val="0076015B"/>
    <w:rsid w:val="0076562D"/>
    <w:rsid w:val="007665A1"/>
    <w:rsid w:val="007679B3"/>
    <w:rsid w:val="0078211C"/>
    <w:rsid w:val="00783148"/>
    <w:rsid w:val="00784432"/>
    <w:rsid w:val="0078548D"/>
    <w:rsid w:val="00786F8F"/>
    <w:rsid w:val="007874C6"/>
    <w:rsid w:val="00787844"/>
    <w:rsid w:val="00787EED"/>
    <w:rsid w:val="00790788"/>
    <w:rsid w:val="00791548"/>
    <w:rsid w:val="0079334F"/>
    <w:rsid w:val="00795A36"/>
    <w:rsid w:val="007A1E4E"/>
    <w:rsid w:val="007A2665"/>
    <w:rsid w:val="007A31F0"/>
    <w:rsid w:val="007A3B8F"/>
    <w:rsid w:val="007A3C7D"/>
    <w:rsid w:val="007A7325"/>
    <w:rsid w:val="007B14F4"/>
    <w:rsid w:val="007B38AA"/>
    <w:rsid w:val="007B3D2B"/>
    <w:rsid w:val="007B43AB"/>
    <w:rsid w:val="007B4F0D"/>
    <w:rsid w:val="007C0177"/>
    <w:rsid w:val="007C09E6"/>
    <w:rsid w:val="007C49D9"/>
    <w:rsid w:val="007C55A3"/>
    <w:rsid w:val="007C56A8"/>
    <w:rsid w:val="007C6A0D"/>
    <w:rsid w:val="007D0E6A"/>
    <w:rsid w:val="007D2D4D"/>
    <w:rsid w:val="007D3969"/>
    <w:rsid w:val="007D48AC"/>
    <w:rsid w:val="007D5E84"/>
    <w:rsid w:val="007E1C78"/>
    <w:rsid w:val="007E63A9"/>
    <w:rsid w:val="007E6892"/>
    <w:rsid w:val="007F4603"/>
    <w:rsid w:val="007F4903"/>
    <w:rsid w:val="007F63DB"/>
    <w:rsid w:val="008047CB"/>
    <w:rsid w:val="00811CBC"/>
    <w:rsid w:val="0081347F"/>
    <w:rsid w:val="00814090"/>
    <w:rsid w:val="008146A9"/>
    <w:rsid w:val="008146B8"/>
    <w:rsid w:val="00815A7B"/>
    <w:rsid w:val="00816C4F"/>
    <w:rsid w:val="00817590"/>
    <w:rsid w:val="008218AD"/>
    <w:rsid w:val="00822685"/>
    <w:rsid w:val="00823927"/>
    <w:rsid w:val="00823CF7"/>
    <w:rsid w:val="00831E04"/>
    <w:rsid w:val="00834B0D"/>
    <w:rsid w:val="00834ED2"/>
    <w:rsid w:val="00843C0E"/>
    <w:rsid w:val="00844FBC"/>
    <w:rsid w:val="00844FBF"/>
    <w:rsid w:val="00845DD1"/>
    <w:rsid w:val="0085031A"/>
    <w:rsid w:val="00852073"/>
    <w:rsid w:val="00854A94"/>
    <w:rsid w:val="00856197"/>
    <w:rsid w:val="00857721"/>
    <w:rsid w:val="0086022C"/>
    <w:rsid w:val="008615AE"/>
    <w:rsid w:val="008629FC"/>
    <w:rsid w:val="00862B8F"/>
    <w:rsid w:val="00863F5E"/>
    <w:rsid w:val="00864983"/>
    <w:rsid w:val="00866B90"/>
    <w:rsid w:val="0086700E"/>
    <w:rsid w:val="00867BD7"/>
    <w:rsid w:val="008738AF"/>
    <w:rsid w:val="0087449F"/>
    <w:rsid w:val="008825BF"/>
    <w:rsid w:val="00885172"/>
    <w:rsid w:val="00886F5F"/>
    <w:rsid w:val="0089247A"/>
    <w:rsid w:val="008942C0"/>
    <w:rsid w:val="00894878"/>
    <w:rsid w:val="00897484"/>
    <w:rsid w:val="0089779C"/>
    <w:rsid w:val="008A229C"/>
    <w:rsid w:val="008A2FC7"/>
    <w:rsid w:val="008A6B30"/>
    <w:rsid w:val="008B126D"/>
    <w:rsid w:val="008B21A6"/>
    <w:rsid w:val="008B5D58"/>
    <w:rsid w:val="008C09A7"/>
    <w:rsid w:val="008C11E7"/>
    <w:rsid w:val="008C34AA"/>
    <w:rsid w:val="008C5BCC"/>
    <w:rsid w:val="008C67F6"/>
    <w:rsid w:val="008C6B9E"/>
    <w:rsid w:val="008D32CF"/>
    <w:rsid w:val="008D41A6"/>
    <w:rsid w:val="008D5441"/>
    <w:rsid w:val="008D544F"/>
    <w:rsid w:val="008D563B"/>
    <w:rsid w:val="008D5730"/>
    <w:rsid w:val="008D5C11"/>
    <w:rsid w:val="008D79EB"/>
    <w:rsid w:val="008D7A21"/>
    <w:rsid w:val="008D7C94"/>
    <w:rsid w:val="008D7CD7"/>
    <w:rsid w:val="008E19FB"/>
    <w:rsid w:val="008E413F"/>
    <w:rsid w:val="008E4647"/>
    <w:rsid w:val="008E6485"/>
    <w:rsid w:val="008E7B41"/>
    <w:rsid w:val="008F080A"/>
    <w:rsid w:val="008F180F"/>
    <w:rsid w:val="008F2730"/>
    <w:rsid w:val="008F4884"/>
    <w:rsid w:val="00903864"/>
    <w:rsid w:val="009102AD"/>
    <w:rsid w:val="00911E8D"/>
    <w:rsid w:val="009127AF"/>
    <w:rsid w:val="0091592D"/>
    <w:rsid w:val="00917AFA"/>
    <w:rsid w:val="009209F4"/>
    <w:rsid w:val="00920C52"/>
    <w:rsid w:val="0092171D"/>
    <w:rsid w:val="00921C1B"/>
    <w:rsid w:val="00922EC7"/>
    <w:rsid w:val="009246C8"/>
    <w:rsid w:val="00926407"/>
    <w:rsid w:val="0092657C"/>
    <w:rsid w:val="009307C5"/>
    <w:rsid w:val="00931A40"/>
    <w:rsid w:val="009324C5"/>
    <w:rsid w:val="00933098"/>
    <w:rsid w:val="0093320F"/>
    <w:rsid w:val="00933782"/>
    <w:rsid w:val="00933A6C"/>
    <w:rsid w:val="00934AEB"/>
    <w:rsid w:val="009356A0"/>
    <w:rsid w:val="00936DF4"/>
    <w:rsid w:val="00937F2C"/>
    <w:rsid w:val="009425B4"/>
    <w:rsid w:val="0094783C"/>
    <w:rsid w:val="00951B85"/>
    <w:rsid w:val="009532F9"/>
    <w:rsid w:val="00953A1B"/>
    <w:rsid w:val="00954662"/>
    <w:rsid w:val="00954CFE"/>
    <w:rsid w:val="009618F1"/>
    <w:rsid w:val="00961974"/>
    <w:rsid w:val="009630C7"/>
    <w:rsid w:val="00964BBA"/>
    <w:rsid w:val="00966161"/>
    <w:rsid w:val="009674BF"/>
    <w:rsid w:val="00967E36"/>
    <w:rsid w:val="00972C9A"/>
    <w:rsid w:val="00974E1F"/>
    <w:rsid w:val="00977ACB"/>
    <w:rsid w:val="00977C53"/>
    <w:rsid w:val="00980A87"/>
    <w:rsid w:val="0098238C"/>
    <w:rsid w:val="009825E1"/>
    <w:rsid w:val="00982A74"/>
    <w:rsid w:val="00985F26"/>
    <w:rsid w:val="009919D2"/>
    <w:rsid w:val="00991D7E"/>
    <w:rsid w:val="00992474"/>
    <w:rsid w:val="00992774"/>
    <w:rsid w:val="00993A26"/>
    <w:rsid w:val="00994090"/>
    <w:rsid w:val="00995CF1"/>
    <w:rsid w:val="009A7AAE"/>
    <w:rsid w:val="009B0B6A"/>
    <w:rsid w:val="009B3592"/>
    <w:rsid w:val="009C0A95"/>
    <w:rsid w:val="009C2C46"/>
    <w:rsid w:val="009C3BC5"/>
    <w:rsid w:val="009C3E42"/>
    <w:rsid w:val="009D2F66"/>
    <w:rsid w:val="009D3C94"/>
    <w:rsid w:val="009D4D72"/>
    <w:rsid w:val="009D78FF"/>
    <w:rsid w:val="009D7EE1"/>
    <w:rsid w:val="009E2FBA"/>
    <w:rsid w:val="009F0D9C"/>
    <w:rsid w:val="009F282D"/>
    <w:rsid w:val="009F4455"/>
    <w:rsid w:val="009F4E82"/>
    <w:rsid w:val="00A04551"/>
    <w:rsid w:val="00A046B1"/>
    <w:rsid w:val="00A04788"/>
    <w:rsid w:val="00A0620E"/>
    <w:rsid w:val="00A07807"/>
    <w:rsid w:val="00A07DD4"/>
    <w:rsid w:val="00A12D0C"/>
    <w:rsid w:val="00A150EF"/>
    <w:rsid w:val="00A15860"/>
    <w:rsid w:val="00A15F3F"/>
    <w:rsid w:val="00A1749B"/>
    <w:rsid w:val="00A2247A"/>
    <w:rsid w:val="00A23582"/>
    <w:rsid w:val="00A25933"/>
    <w:rsid w:val="00A25A06"/>
    <w:rsid w:val="00A26837"/>
    <w:rsid w:val="00A302DF"/>
    <w:rsid w:val="00A329CF"/>
    <w:rsid w:val="00A3554B"/>
    <w:rsid w:val="00A361C9"/>
    <w:rsid w:val="00A402A8"/>
    <w:rsid w:val="00A40A62"/>
    <w:rsid w:val="00A46345"/>
    <w:rsid w:val="00A5007D"/>
    <w:rsid w:val="00A50FE8"/>
    <w:rsid w:val="00A52BEB"/>
    <w:rsid w:val="00A532EF"/>
    <w:rsid w:val="00A56178"/>
    <w:rsid w:val="00A60160"/>
    <w:rsid w:val="00A61671"/>
    <w:rsid w:val="00A6198A"/>
    <w:rsid w:val="00A62E74"/>
    <w:rsid w:val="00A6742B"/>
    <w:rsid w:val="00A70F6D"/>
    <w:rsid w:val="00A757F7"/>
    <w:rsid w:val="00A76B71"/>
    <w:rsid w:val="00A77E9E"/>
    <w:rsid w:val="00A802D4"/>
    <w:rsid w:val="00A80CF3"/>
    <w:rsid w:val="00A813F0"/>
    <w:rsid w:val="00A818A4"/>
    <w:rsid w:val="00A8454B"/>
    <w:rsid w:val="00A878EE"/>
    <w:rsid w:val="00A91C39"/>
    <w:rsid w:val="00A93AF4"/>
    <w:rsid w:val="00A946BE"/>
    <w:rsid w:val="00A95F2F"/>
    <w:rsid w:val="00A96348"/>
    <w:rsid w:val="00AA00AC"/>
    <w:rsid w:val="00AA08A7"/>
    <w:rsid w:val="00AA1B9B"/>
    <w:rsid w:val="00AA23D1"/>
    <w:rsid w:val="00AA4489"/>
    <w:rsid w:val="00AA50C9"/>
    <w:rsid w:val="00AA7C21"/>
    <w:rsid w:val="00AB0C25"/>
    <w:rsid w:val="00AB0FD7"/>
    <w:rsid w:val="00AB166A"/>
    <w:rsid w:val="00AB3264"/>
    <w:rsid w:val="00AB3DBB"/>
    <w:rsid w:val="00AB3F35"/>
    <w:rsid w:val="00AB5D2F"/>
    <w:rsid w:val="00AC1E51"/>
    <w:rsid w:val="00AC411F"/>
    <w:rsid w:val="00AD012B"/>
    <w:rsid w:val="00AD04B6"/>
    <w:rsid w:val="00AD0D9C"/>
    <w:rsid w:val="00AD0FF6"/>
    <w:rsid w:val="00AD35E7"/>
    <w:rsid w:val="00AD47F8"/>
    <w:rsid w:val="00AD56CC"/>
    <w:rsid w:val="00AD6A86"/>
    <w:rsid w:val="00AD7018"/>
    <w:rsid w:val="00AE1F68"/>
    <w:rsid w:val="00AE47F4"/>
    <w:rsid w:val="00AE5128"/>
    <w:rsid w:val="00AE612B"/>
    <w:rsid w:val="00AE6E28"/>
    <w:rsid w:val="00AF1567"/>
    <w:rsid w:val="00AF24E7"/>
    <w:rsid w:val="00AF3D52"/>
    <w:rsid w:val="00AF5A87"/>
    <w:rsid w:val="00AF60AE"/>
    <w:rsid w:val="00AF6158"/>
    <w:rsid w:val="00B00C32"/>
    <w:rsid w:val="00B01733"/>
    <w:rsid w:val="00B065FB"/>
    <w:rsid w:val="00B06BA7"/>
    <w:rsid w:val="00B10F0E"/>
    <w:rsid w:val="00B11006"/>
    <w:rsid w:val="00B13AA4"/>
    <w:rsid w:val="00B14E91"/>
    <w:rsid w:val="00B17968"/>
    <w:rsid w:val="00B17F87"/>
    <w:rsid w:val="00B22F7E"/>
    <w:rsid w:val="00B25B3D"/>
    <w:rsid w:val="00B2634C"/>
    <w:rsid w:val="00B26A7C"/>
    <w:rsid w:val="00B277DC"/>
    <w:rsid w:val="00B27B70"/>
    <w:rsid w:val="00B306F5"/>
    <w:rsid w:val="00B312EC"/>
    <w:rsid w:val="00B312FB"/>
    <w:rsid w:val="00B3285D"/>
    <w:rsid w:val="00B32EA6"/>
    <w:rsid w:val="00B374E7"/>
    <w:rsid w:val="00B42ED5"/>
    <w:rsid w:val="00B43432"/>
    <w:rsid w:val="00B43828"/>
    <w:rsid w:val="00B440D5"/>
    <w:rsid w:val="00B46344"/>
    <w:rsid w:val="00B46E11"/>
    <w:rsid w:val="00B5153D"/>
    <w:rsid w:val="00B529C5"/>
    <w:rsid w:val="00B5390B"/>
    <w:rsid w:val="00B54126"/>
    <w:rsid w:val="00B57584"/>
    <w:rsid w:val="00B6088E"/>
    <w:rsid w:val="00B61C1B"/>
    <w:rsid w:val="00B64012"/>
    <w:rsid w:val="00B64EAA"/>
    <w:rsid w:val="00B67DB0"/>
    <w:rsid w:val="00B70A04"/>
    <w:rsid w:val="00B72EAC"/>
    <w:rsid w:val="00B7370E"/>
    <w:rsid w:val="00B73815"/>
    <w:rsid w:val="00B74F0F"/>
    <w:rsid w:val="00B75A59"/>
    <w:rsid w:val="00B76FF6"/>
    <w:rsid w:val="00B863F3"/>
    <w:rsid w:val="00B87C4F"/>
    <w:rsid w:val="00B87DC4"/>
    <w:rsid w:val="00B87DE0"/>
    <w:rsid w:val="00B90732"/>
    <w:rsid w:val="00B919C4"/>
    <w:rsid w:val="00B92791"/>
    <w:rsid w:val="00B936DF"/>
    <w:rsid w:val="00B93A11"/>
    <w:rsid w:val="00B94B75"/>
    <w:rsid w:val="00BA741F"/>
    <w:rsid w:val="00BB3D08"/>
    <w:rsid w:val="00BB74E3"/>
    <w:rsid w:val="00BC1FAC"/>
    <w:rsid w:val="00BC2CDF"/>
    <w:rsid w:val="00BC3F1C"/>
    <w:rsid w:val="00BC56C7"/>
    <w:rsid w:val="00BD149F"/>
    <w:rsid w:val="00BD2955"/>
    <w:rsid w:val="00BD3008"/>
    <w:rsid w:val="00BD79D1"/>
    <w:rsid w:val="00BF1032"/>
    <w:rsid w:val="00BF1EF2"/>
    <w:rsid w:val="00BF2B2C"/>
    <w:rsid w:val="00BF3E72"/>
    <w:rsid w:val="00BF5834"/>
    <w:rsid w:val="00BF6D69"/>
    <w:rsid w:val="00BF78E9"/>
    <w:rsid w:val="00C0454A"/>
    <w:rsid w:val="00C10FC7"/>
    <w:rsid w:val="00C12F10"/>
    <w:rsid w:val="00C13096"/>
    <w:rsid w:val="00C1323E"/>
    <w:rsid w:val="00C13722"/>
    <w:rsid w:val="00C146F8"/>
    <w:rsid w:val="00C165BF"/>
    <w:rsid w:val="00C16622"/>
    <w:rsid w:val="00C17306"/>
    <w:rsid w:val="00C207AE"/>
    <w:rsid w:val="00C247BC"/>
    <w:rsid w:val="00C24F9D"/>
    <w:rsid w:val="00C25697"/>
    <w:rsid w:val="00C32199"/>
    <w:rsid w:val="00C32724"/>
    <w:rsid w:val="00C32A35"/>
    <w:rsid w:val="00C3389D"/>
    <w:rsid w:val="00C35F7F"/>
    <w:rsid w:val="00C36D67"/>
    <w:rsid w:val="00C37667"/>
    <w:rsid w:val="00C37B27"/>
    <w:rsid w:val="00C51A95"/>
    <w:rsid w:val="00C54F85"/>
    <w:rsid w:val="00C6232F"/>
    <w:rsid w:val="00C63434"/>
    <w:rsid w:val="00C66445"/>
    <w:rsid w:val="00C728A7"/>
    <w:rsid w:val="00C75F13"/>
    <w:rsid w:val="00C76645"/>
    <w:rsid w:val="00C76681"/>
    <w:rsid w:val="00C8370B"/>
    <w:rsid w:val="00C85377"/>
    <w:rsid w:val="00C874FE"/>
    <w:rsid w:val="00C9034C"/>
    <w:rsid w:val="00C928BC"/>
    <w:rsid w:val="00C92AE9"/>
    <w:rsid w:val="00C93331"/>
    <w:rsid w:val="00C942CD"/>
    <w:rsid w:val="00C951CF"/>
    <w:rsid w:val="00C9675D"/>
    <w:rsid w:val="00CA0BBC"/>
    <w:rsid w:val="00CA0CB9"/>
    <w:rsid w:val="00CA2CD4"/>
    <w:rsid w:val="00CA30EA"/>
    <w:rsid w:val="00CA37C3"/>
    <w:rsid w:val="00CA5593"/>
    <w:rsid w:val="00CA6EB6"/>
    <w:rsid w:val="00CB0E03"/>
    <w:rsid w:val="00CB1454"/>
    <w:rsid w:val="00CB24C8"/>
    <w:rsid w:val="00CB2A46"/>
    <w:rsid w:val="00CB554E"/>
    <w:rsid w:val="00CB72C2"/>
    <w:rsid w:val="00CC388A"/>
    <w:rsid w:val="00CC3FD8"/>
    <w:rsid w:val="00CC4B98"/>
    <w:rsid w:val="00CC6E21"/>
    <w:rsid w:val="00CD0289"/>
    <w:rsid w:val="00CD751B"/>
    <w:rsid w:val="00CD7922"/>
    <w:rsid w:val="00CD7C50"/>
    <w:rsid w:val="00CD7FF3"/>
    <w:rsid w:val="00CE1EF7"/>
    <w:rsid w:val="00CE2E53"/>
    <w:rsid w:val="00CE3405"/>
    <w:rsid w:val="00CE40FE"/>
    <w:rsid w:val="00CE421B"/>
    <w:rsid w:val="00CE5C98"/>
    <w:rsid w:val="00CE7CA7"/>
    <w:rsid w:val="00CF07CA"/>
    <w:rsid w:val="00CF1595"/>
    <w:rsid w:val="00CF1E7B"/>
    <w:rsid w:val="00CF3CC3"/>
    <w:rsid w:val="00CF5817"/>
    <w:rsid w:val="00CF7DCF"/>
    <w:rsid w:val="00D00EF0"/>
    <w:rsid w:val="00D01988"/>
    <w:rsid w:val="00D01FD5"/>
    <w:rsid w:val="00D02662"/>
    <w:rsid w:val="00D02D18"/>
    <w:rsid w:val="00D04CBE"/>
    <w:rsid w:val="00D0616A"/>
    <w:rsid w:val="00D07BB2"/>
    <w:rsid w:val="00D10840"/>
    <w:rsid w:val="00D1099C"/>
    <w:rsid w:val="00D12D66"/>
    <w:rsid w:val="00D227A4"/>
    <w:rsid w:val="00D231C8"/>
    <w:rsid w:val="00D238F6"/>
    <w:rsid w:val="00D25AD8"/>
    <w:rsid w:val="00D30577"/>
    <w:rsid w:val="00D31FDF"/>
    <w:rsid w:val="00D3570E"/>
    <w:rsid w:val="00D35AD7"/>
    <w:rsid w:val="00D35D05"/>
    <w:rsid w:val="00D36219"/>
    <w:rsid w:val="00D369FC"/>
    <w:rsid w:val="00D36BAE"/>
    <w:rsid w:val="00D3732E"/>
    <w:rsid w:val="00D37624"/>
    <w:rsid w:val="00D37B5A"/>
    <w:rsid w:val="00D4051F"/>
    <w:rsid w:val="00D40982"/>
    <w:rsid w:val="00D4130E"/>
    <w:rsid w:val="00D437B6"/>
    <w:rsid w:val="00D442B2"/>
    <w:rsid w:val="00D46F56"/>
    <w:rsid w:val="00D47D8D"/>
    <w:rsid w:val="00D51FE9"/>
    <w:rsid w:val="00D53E70"/>
    <w:rsid w:val="00D54811"/>
    <w:rsid w:val="00D550D3"/>
    <w:rsid w:val="00D56ACA"/>
    <w:rsid w:val="00D60079"/>
    <w:rsid w:val="00D61A34"/>
    <w:rsid w:val="00D640B3"/>
    <w:rsid w:val="00D67710"/>
    <w:rsid w:val="00D67A68"/>
    <w:rsid w:val="00D70D21"/>
    <w:rsid w:val="00D7269F"/>
    <w:rsid w:val="00D72E2D"/>
    <w:rsid w:val="00D76CAD"/>
    <w:rsid w:val="00D77A9D"/>
    <w:rsid w:val="00D83100"/>
    <w:rsid w:val="00D85BF6"/>
    <w:rsid w:val="00D86843"/>
    <w:rsid w:val="00D90A34"/>
    <w:rsid w:val="00D92E0D"/>
    <w:rsid w:val="00D9474A"/>
    <w:rsid w:val="00D94ED5"/>
    <w:rsid w:val="00D95275"/>
    <w:rsid w:val="00D958FD"/>
    <w:rsid w:val="00DA1E53"/>
    <w:rsid w:val="00DA2AE1"/>
    <w:rsid w:val="00DA4679"/>
    <w:rsid w:val="00DB2A98"/>
    <w:rsid w:val="00DB3D6C"/>
    <w:rsid w:val="00DB4D19"/>
    <w:rsid w:val="00DB7EAF"/>
    <w:rsid w:val="00DC0501"/>
    <w:rsid w:val="00DC1A1E"/>
    <w:rsid w:val="00DC1CFD"/>
    <w:rsid w:val="00DC1D2F"/>
    <w:rsid w:val="00DC7ACE"/>
    <w:rsid w:val="00DC7DF7"/>
    <w:rsid w:val="00DD012E"/>
    <w:rsid w:val="00DD2AC0"/>
    <w:rsid w:val="00DD549C"/>
    <w:rsid w:val="00DD730E"/>
    <w:rsid w:val="00DE077E"/>
    <w:rsid w:val="00DE1894"/>
    <w:rsid w:val="00DE5D5B"/>
    <w:rsid w:val="00DE6512"/>
    <w:rsid w:val="00DF0599"/>
    <w:rsid w:val="00DF25AF"/>
    <w:rsid w:val="00DF635E"/>
    <w:rsid w:val="00E01BDA"/>
    <w:rsid w:val="00E049DA"/>
    <w:rsid w:val="00E052EC"/>
    <w:rsid w:val="00E05422"/>
    <w:rsid w:val="00E054BE"/>
    <w:rsid w:val="00E06BAC"/>
    <w:rsid w:val="00E12371"/>
    <w:rsid w:val="00E166CF"/>
    <w:rsid w:val="00E16EA8"/>
    <w:rsid w:val="00E17D9D"/>
    <w:rsid w:val="00E22EB7"/>
    <w:rsid w:val="00E3692E"/>
    <w:rsid w:val="00E3729B"/>
    <w:rsid w:val="00E41D81"/>
    <w:rsid w:val="00E435AC"/>
    <w:rsid w:val="00E44E2B"/>
    <w:rsid w:val="00E464BE"/>
    <w:rsid w:val="00E47DDB"/>
    <w:rsid w:val="00E52CA3"/>
    <w:rsid w:val="00E52DAD"/>
    <w:rsid w:val="00E5483F"/>
    <w:rsid w:val="00E5733A"/>
    <w:rsid w:val="00E5753F"/>
    <w:rsid w:val="00E57F35"/>
    <w:rsid w:val="00E6323D"/>
    <w:rsid w:val="00E70F62"/>
    <w:rsid w:val="00E70F87"/>
    <w:rsid w:val="00E75D4D"/>
    <w:rsid w:val="00E76A13"/>
    <w:rsid w:val="00E76DEE"/>
    <w:rsid w:val="00E811D3"/>
    <w:rsid w:val="00E82CD7"/>
    <w:rsid w:val="00E851C2"/>
    <w:rsid w:val="00E90A50"/>
    <w:rsid w:val="00E910E4"/>
    <w:rsid w:val="00E912BA"/>
    <w:rsid w:val="00E914AA"/>
    <w:rsid w:val="00E9196A"/>
    <w:rsid w:val="00E91DB9"/>
    <w:rsid w:val="00E95BB5"/>
    <w:rsid w:val="00E9748F"/>
    <w:rsid w:val="00EA00DF"/>
    <w:rsid w:val="00EA30E0"/>
    <w:rsid w:val="00EA458C"/>
    <w:rsid w:val="00EA538C"/>
    <w:rsid w:val="00EA63A9"/>
    <w:rsid w:val="00EB02BC"/>
    <w:rsid w:val="00EB1DF6"/>
    <w:rsid w:val="00EB6901"/>
    <w:rsid w:val="00EC4FBF"/>
    <w:rsid w:val="00ED035C"/>
    <w:rsid w:val="00ED1781"/>
    <w:rsid w:val="00ED2ACE"/>
    <w:rsid w:val="00ED3781"/>
    <w:rsid w:val="00ED50FA"/>
    <w:rsid w:val="00ED79DA"/>
    <w:rsid w:val="00EE1484"/>
    <w:rsid w:val="00EE2DC9"/>
    <w:rsid w:val="00EE659D"/>
    <w:rsid w:val="00EF0032"/>
    <w:rsid w:val="00EF010B"/>
    <w:rsid w:val="00EF0670"/>
    <w:rsid w:val="00EF24A8"/>
    <w:rsid w:val="00F05801"/>
    <w:rsid w:val="00F10ED1"/>
    <w:rsid w:val="00F1621C"/>
    <w:rsid w:val="00F16BC7"/>
    <w:rsid w:val="00F20F0A"/>
    <w:rsid w:val="00F222B6"/>
    <w:rsid w:val="00F2253E"/>
    <w:rsid w:val="00F246D7"/>
    <w:rsid w:val="00F2661F"/>
    <w:rsid w:val="00F26CE5"/>
    <w:rsid w:val="00F26DD8"/>
    <w:rsid w:val="00F3536A"/>
    <w:rsid w:val="00F35AE0"/>
    <w:rsid w:val="00F36D5F"/>
    <w:rsid w:val="00F36ECF"/>
    <w:rsid w:val="00F450F0"/>
    <w:rsid w:val="00F505D9"/>
    <w:rsid w:val="00F50C5D"/>
    <w:rsid w:val="00F50CA4"/>
    <w:rsid w:val="00F520C7"/>
    <w:rsid w:val="00F53D4F"/>
    <w:rsid w:val="00F54427"/>
    <w:rsid w:val="00F55F1A"/>
    <w:rsid w:val="00F6342D"/>
    <w:rsid w:val="00F64863"/>
    <w:rsid w:val="00F65E7C"/>
    <w:rsid w:val="00F66AA1"/>
    <w:rsid w:val="00F71BFE"/>
    <w:rsid w:val="00F72531"/>
    <w:rsid w:val="00F72F45"/>
    <w:rsid w:val="00F749CE"/>
    <w:rsid w:val="00F76994"/>
    <w:rsid w:val="00F819E9"/>
    <w:rsid w:val="00F85285"/>
    <w:rsid w:val="00F90469"/>
    <w:rsid w:val="00F909DB"/>
    <w:rsid w:val="00F929ED"/>
    <w:rsid w:val="00F93572"/>
    <w:rsid w:val="00F96D50"/>
    <w:rsid w:val="00FA1621"/>
    <w:rsid w:val="00FA386C"/>
    <w:rsid w:val="00FA3BDF"/>
    <w:rsid w:val="00FA4766"/>
    <w:rsid w:val="00FA7D2C"/>
    <w:rsid w:val="00FA7F2B"/>
    <w:rsid w:val="00FB1F60"/>
    <w:rsid w:val="00FB30F2"/>
    <w:rsid w:val="00FB487E"/>
    <w:rsid w:val="00FB6B17"/>
    <w:rsid w:val="00FB6E0D"/>
    <w:rsid w:val="00FC1288"/>
    <w:rsid w:val="00FC1DFB"/>
    <w:rsid w:val="00FC279E"/>
    <w:rsid w:val="00FC2F49"/>
    <w:rsid w:val="00FC3369"/>
    <w:rsid w:val="00FC3D3F"/>
    <w:rsid w:val="00FC4AC5"/>
    <w:rsid w:val="00FC4BFD"/>
    <w:rsid w:val="00FC6112"/>
    <w:rsid w:val="00FC6A60"/>
    <w:rsid w:val="00FC6DFC"/>
    <w:rsid w:val="00FD1D9F"/>
    <w:rsid w:val="00FD46D7"/>
    <w:rsid w:val="00FD679E"/>
    <w:rsid w:val="00FD6BB9"/>
    <w:rsid w:val="00FD7C57"/>
    <w:rsid w:val="00FE22DC"/>
    <w:rsid w:val="00FE2B47"/>
    <w:rsid w:val="00FE47E7"/>
    <w:rsid w:val="00FE490D"/>
    <w:rsid w:val="00FF218F"/>
    <w:rsid w:val="00FF26EC"/>
    <w:rsid w:val="00FF3B19"/>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C614"/>
  <w15:chartTrackingRefBased/>
  <w15:docId w15:val="{2CC8B42A-1500-4450-8463-666E0D10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933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933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933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933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93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33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33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33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33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3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361"/>
    <w:rPr>
      <w:rFonts w:eastAsiaTheme="majorEastAsia" w:cstheme="majorBidi"/>
      <w:color w:val="272727" w:themeColor="text1" w:themeTint="D8"/>
    </w:rPr>
  </w:style>
  <w:style w:type="paragraph" w:styleId="Title">
    <w:name w:val="Title"/>
    <w:basedOn w:val="Normal"/>
    <w:next w:val="Normal"/>
    <w:link w:val="TitleChar"/>
    <w:uiPriority w:val="10"/>
    <w:qFormat/>
    <w:rsid w:val="00693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3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3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3361"/>
    <w:rPr>
      <w:i/>
      <w:iCs/>
      <w:color w:val="404040" w:themeColor="text1" w:themeTint="BF"/>
    </w:rPr>
  </w:style>
  <w:style w:type="paragraph" w:styleId="ListParagraph">
    <w:name w:val="List Paragraph"/>
    <w:basedOn w:val="Normal"/>
    <w:uiPriority w:val="34"/>
    <w:qFormat/>
    <w:rsid w:val="00693361"/>
    <w:pPr>
      <w:ind w:left="720"/>
      <w:contextualSpacing/>
    </w:pPr>
  </w:style>
  <w:style w:type="character" w:styleId="IntenseEmphasis">
    <w:name w:val="Intense Emphasis"/>
    <w:basedOn w:val="DefaultParagraphFont"/>
    <w:uiPriority w:val="21"/>
    <w:qFormat/>
    <w:rsid w:val="00693361"/>
    <w:rPr>
      <w:i/>
      <w:iCs/>
      <w:color w:val="365F91" w:themeColor="accent1" w:themeShade="BF"/>
    </w:rPr>
  </w:style>
  <w:style w:type="paragraph" w:styleId="IntenseQuote">
    <w:name w:val="Intense Quote"/>
    <w:basedOn w:val="Normal"/>
    <w:next w:val="Normal"/>
    <w:link w:val="IntenseQuoteChar"/>
    <w:uiPriority w:val="30"/>
    <w:qFormat/>
    <w:rsid w:val="006933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93361"/>
    <w:rPr>
      <w:i/>
      <w:iCs/>
      <w:color w:val="365F91" w:themeColor="accent1" w:themeShade="BF"/>
    </w:rPr>
  </w:style>
  <w:style w:type="character" w:styleId="IntenseReference">
    <w:name w:val="Intense Reference"/>
    <w:basedOn w:val="DefaultParagraphFont"/>
    <w:uiPriority w:val="32"/>
    <w:qFormat/>
    <w:rsid w:val="00693361"/>
    <w:rPr>
      <w:b/>
      <w:bCs/>
      <w:smallCaps/>
      <w:color w:val="365F91" w:themeColor="accent1" w:themeShade="BF"/>
      <w:spacing w:val="5"/>
    </w:rPr>
  </w:style>
  <w:style w:type="character" w:styleId="Hyperlink">
    <w:name w:val="Hyperlink"/>
    <w:basedOn w:val="DefaultParagraphFont"/>
    <w:uiPriority w:val="99"/>
    <w:unhideWhenUsed/>
    <w:rsid w:val="00AD0D9C"/>
    <w:rPr>
      <w:color w:val="0000FF" w:themeColor="hyperlink"/>
      <w:u w:val="single"/>
    </w:rPr>
  </w:style>
  <w:style w:type="character" w:styleId="UnresolvedMention">
    <w:name w:val="Unresolved Mention"/>
    <w:basedOn w:val="DefaultParagraphFont"/>
    <w:uiPriority w:val="99"/>
    <w:semiHidden/>
    <w:unhideWhenUsed/>
    <w:rsid w:val="00AD0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venoaks.gov.uk/downloads/file/4400/local_plan_regulation_18_consultation_version" TargetMode="External"/><Relationship Id="rId5" Type="http://schemas.openxmlformats.org/officeDocument/2006/relationships/hyperlink" Target="https://engagement.sevenoaks.gov.uk/strategic-planning/emerginglocal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1716</Words>
  <Characters>9784</Characters>
  <Application>Microsoft Office Word</Application>
  <DocSecurity>0</DocSecurity>
  <Lines>81</Lines>
  <Paragraphs>22</Paragraphs>
  <ScaleCrop>false</ScaleCrop>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Hewitt</dc:creator>
  <cp:keywords/>
  <dc:description/>
  <cp:lastModifiedBy>Su Hewitt</cp:lastModifiedBy>
  <cp:revision>68</cp:revision>
  <dcterms:created xsi:type="dcterms:W3CDTF">2025-12-10T15:24:00Z</dcterms:created>
  <dcterms:modified xsi:type="dcterms:W3CDTF">2025-12-10T17:36:00Z</dcterms:modified>
</cp:coreProperties>
</file>